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3</w:t>
      </w:r>
      <w:r>
        <w:rPr>
          <w:rFonts w:ascii="Arial" w:hAnsi="Arial" w:cs="Arial"/>
          <w:b/>
          <w:sz w:val="24"/>
          <w:szCs w:val="24"/>
        </w:rPr>
        <w:t>-e</w:t>
      </w:r>
      <w:r>
        <w:rPr>
          <w:rFonts w:hint="eastAsia" w:ascii="Arial" w:hAnsi="Arial" w:cs="Arial"/>
          <w:b/>
          <w:sz w:val="24"/>
          <w:szCs w:val="24"/>
          <w:highlight w:val="none"/>
        </w:rPr>
        <w:t xml:space="preserve">                               R4-2209596</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May</w:t>
      </w:r>
      <w:r>
        <w:rPr>
          <w:rFonts w:ascii="Arial" w:hAnsi="Arial" w:cs="Arial"/>
          <w:b/>
          <w:bCs/>
          <w:sz w:val="24"/>
          <w:szCs w:val="24"/>
        </w:rPr>
        <w:t xml:space="preserve"> – </w:t>
      </w:r>
      <w:r>
        <w:rPr>
          <w:rFonts w:hint="eastAsia" w:ascii="Arial" w:hAnsi="Arial" w:cs="Arial"/>
          <w:b/>
          <w:bCs/>
          <w:sz w:val="24"/>
          <w:szCs w:val="24"/>
          <w:lang w:val="en-US" w:eastAsia="zh-CN"/>
        </w:rPr>
        <w:t>20</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May,</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rPr>
        <w:t>.</w:t>
      </w:r>
      <w:r>
        <w:rPr>
          <w:rFonts w:hint="eastAsia" w:ascii="Arial" w:hAnsi="Arial" w:cs="Arial"/>
          <w:b/>
          <w:sz w:val="24"/>
          <w:szCs w:val="24"/>
          <w:highlight w:val="none"/>
          <w:lang w:val="en-US" w:eastAsia="zh-CN"/>
        </w:rPr>
        <w:t>12.5.1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w:t>
      </w:r>
      <w:r>
        <w:rPr>
          <w:rFonts w:hint="eastAsia" w:ascii="Arial" w:hAnsi="Arial" w:cs="Arial"/>
          <w:b/>
          <w:sz w:val="24"/>
          <w:szCs w:val="24"/>
          <w:highlight w:val="none"/>
          <w:lang w:val="en-US" w:eastAsia="zh-CN"/>
        </w:rPr>
        <w:t>iscussion on NTN UE Tx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3"/>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In</w:t>
      </w:r>
      <w:r>
        <w:rPr>
          <w:rFonts w:eastAsia="Times New Roman"/>
          <w:color w:val="000000"/>
          <w:u w:val="none" w:color="000000"/>
          <w:lang w:val="en-US"/>
        </w:rPr>
        <w:t xml:space="preserve"> </w:t>
      </w:r>
      <w:r>
        <w:rPr>
          <w:rFonts w:hint="eastAsia" w:eastAsia="宋体"/>
          <w:color w:val="000000"/>
          <w:u w:val="none" w:color="000000"/>
          <w:lang w:val="en-US" w:eastAsia="zh-CN"/>
        </w:rPr>
        <w:t xml:space="preserve">the previous RAN4 meetings, </w:t>
      </w:r>
      <w:r>
        <w:rPr>
          <w:rFonts w:hint="eastAsia"/>
          <w:color w:val="000000"/>
          <w:u w:val="none" w:color="000000"/>
          <w:lang w:val="en-US" w:eastAsia="zh-CN"/>
        </w:rPr>
        <w:t>most of NTN UE RF requirement has been agreed and captured in TS38.101-5 spec except for the spurious emission requirement for UE coexistence (n255/256). In this contribution, we want to share some further inputs on this issue.</w:t>
      </w:r>
    </w:p>
    <w:p>
      <w:pPr>
        <w:pStyle w:val="53"/>
        <w:tabs>
          <w:tab w:val="left" w:pos="567"/>
          <w:tab w:val="clear" w:pos="1985"/>
        </w:tabs>
        <w:adjustRightInd w:val="0"/>
        <w:ind w:left="510" w:hanging="510"/>
        <w:rPr>
          <w:highlight w:val="none"/>
        </w:rPr>
      </w:pPr>
      <w:r>
        <w:rPr>
          <w:rFonts w:hint="eastAsia"/>
          <w:highlight w:val="none"/>
        </w:rPr>
        <w:t xml:space="preserve">Discussion </w:t>
      </w:r>
      <w:bookmarkStart w:id="1" w:name="OLE_LINK13"/>
      <w:bookmarkStart w:id="2" w:name="OLE_LINK20"/>
      <w:bookmarkStart w:id="3" w:name="OLE_LINK10"/>
      <w:bookmarkStart w:id="4" w:name="OLE_LINK14"/>
    </w:p>
    <w:p>
      <w:pPr>
        <w:pStyle w:val="43"/>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eastAsia" w:eastAsiaTheme="minorEastAsia"/>
          <w:highlight w:val="none"/>
          <w:lang w:val="en-US" w:eastAsia="zh-CN"/>
        </w:rPr>
      </w:pPr>
      <w:r>
        <w:rPr>
          <w:rFonts w:hint="eastAsia" w:eastAsia="宋体"/>
          <w:b w:val="0"/>
          <w:bCs w:val="0"/>
          <w:sz w:val="24"/>
          <w:szCs w:val="24"/>
          <w:highlight w:val="none"/>
          <w:lang w:val="en-US" w:eastAsia="zh-CN"/>
        </w:rPr>
        <w:t xml:space="preserve">2.1 </w:t>
      </w:r>
      <w:r>
        <w:rPr>
          <w:rFonts w:hint="eastAsia"/>
          <w:b w:val="0"/>
          <w:bCs w:val="0"/>
          <w:sz w:val="24"/>
          <w:szCs w:val="24"/>
          <w:highlight w:val="none"/>
          <w:lang w:val="en-US" w:eastAsia="zh-CN"/>
        </w:rPr>
        <w:t>A-MPR requirements for n256</w:t>
      </w:r>
    </w:p>
    <w:p>
      <w:pPr>
        <w:spacing w:after="120"/>
        <w:rPr>
          <w:rFonts w:eastAsia="Yu Mincho"/>
          <w:color w:val="0070C0"/>
          <w:lang w:eastAsia="zh-CN"/>
        </w:rPr>
      </w:pPr>
      <w:r>
        <w:rPr>
          <w:rFonts w:hint="eastAsia" w:eastAsia="Yu Mincho"/>
          <w:color w:val="0070C0"/>
          <w:lang w:eastAsia="zh-CN"/>
        </w:rPr>
        <w:t>E</w:t>
      </w:r>
      <w:r>
        <w:rPr>
          <w:rFonts w:eastAsia="Yu Mincho"/>
          <w:color w:val="0070C0"/>
          <w:lang w:eastAsia="zh-CN"/>
        </w:rPr>
        <w:t>xceptions that shall be considered for n256:</w:t>
      </w:r>
    </w:p>
    <w:p>
      <w:pPr>
        <w:pStyle w:val="32"/>
        <w:numPr>
          <w:ilvl w:val="0"/>
          <w:numId w:val="4"/>
        </w:numPr>
        <w:rPr>
          <w:rFonts w:ascii="Calibri" w:hAnsi="Calibri" w:eastAsia="宋体" w:cs="Calibri"/>
          <w:strike/>
          <w:color w:val="1F497D"/>
          <w:sz w:val="17"/>
          <w:szCs w:val="17"/>
          <w:shd w:val="clear" w:color="auto" w:fill="FFFFFF"/>
          <w:lang w:eastAsia="zh-CN"/>
        </w:rPr>
      </w:pPr>
      <w:r>
        <w:rPr>
          <w:rFonts w:ascii="Calibri" w:hAnsi="Calibri" w:eastAsia="宋体" w:cs="Calibri"/>
          <w:color w:val="1F497D"/>
          <w:sz w:val="17"/>
          <w:szCs w:val="17"/>
          <w:shd w:val="clear" w:color="auto" w:fill="FFFFFF"/>
          <w:lang w:eastAsia="zh-CN"/>
        </w:rPr>
        <w:t xml:space="preserve">n34 with NS_24 A-MPR </w:t>
      </w:r>
      <w:r>
        <w:rPr>
          <w:rFonts w:ascii="Calibri" w:hAnsi="Calibri" w:eastAsia="宋体" w:cs="Calibri"/>
          <w:strike/>
          <w:color w:val="1F497D"/>
          <w:sz w:val="17"/>
          <w:szCs w:val="17"/>
          <w:shd w:val="clear" w:color="auto" w:fill="FFFFFF"/>
          <w:lang w:eastAsia="zh-CN"/>
        </w:rPr>
        <w:t>(we need to check if reusing n65 A-MPR is fully applicable)</w:t>
      </w:r>
      <w:r>
        <w:rPr>
          <w:rFonts w:ascii="Calibri" w:hAnsi="Calibri" w:eastAsia="宋体" w:cs="Calibri"/>
          <w:color w:val="1F497D"/>
          <w:sz w:val="17"/>
          <w:szCs w:val="17"/>
          <w:shd w:val="clear" w:color="auto" w:fill="FFFFFF"/>
          <w:lang w:eastAsia="zh-CN"/>
        </w:rPr>
        <w:t xml:space="preserve">. </w:t>
      </w:r>
      <w:r>
        <w:rPr>
          <w:rFonts w:ascii="Calibri" w:hAnsi="Calibri" w:eastAsia="宋体" w:cs="Calibri"/>
          <w:strike/>
          <w:color w:val="1F497D"/>
          <w:sz w:val="17"/>
          <w:szCs w:val="17"/>
          <w:shd w:val="clear" w:color="auto" w:fill="FFFFFF"/>
          <w:lang w:eastAsia="zh-CN"/>
        </w:rPr>
        <w:t>Should there be a table saying that NS_24 and NS_100 applies to n256</w:t>
      </w:r>
    </w:p>
    <w:p>
      <w:pPr>
        <w:pStyle w:val="32"/>
        <w:numPr>
          <w:ilvl w:val="1"/>
          <w:numId w:val="4"/>
        </w:numPr>
        <w:rPr>
          <w:rFonts w:hint="eastAsia" w:ascii="Calibri" w:hAnsi="Calibri" w:eastAsia="宋体" w:cs="Calibri"/>
          <w:color w:val="1F497D"/>
          <w:sz w:val="17"/>
          <w:szCs w:val="17"/>
          <w:shd w:val="clear" w:color="auto" w:fill="FFFFFF"/>
          <w:lang w:eastAsia="zh-CN"/>
        </w:rPr>
      </w:pPr>
      <w:r>
        <w:rPr>
          <w:rFonts w:hint="eastAsia" w:ascii="Calibri" w:hAnsi="Calibri" w:eastAsia="宋体" w:cs="Calibri"/>
          <w:color w:val="1F497D"/>
          <w:sz w:val="17"/>
          <w:szCs w:val="17"/>
          <w:shd w:val="clear" w:color="auto" w:fill="FFFFFF"/>
          <w:lang w:eastAsia="zh-CN"/>
        </w:rPr>
        <w:t>F</w:t>
      </w:r>
      <w:r>
        <w:rPr>
          <w:rFonts w:ascii="Calibri" w:hAnsi="Calibri" w:eastAsia="宋体" w:cs="Calibri"/>
          <w:color w:val="1F497D"/>
          <w:sz w:val="17"/>
          <w:szCs w:val="17"/>
          <w:shd w:val="clear" w:color="auto" w:fill="FFFFFF"/>
          <w:lang w:eastAsia="zh-CN"/>
        </w:rPr>
        <w:t>FS whether existing A-MPR value with NS_24 can be reused, keep A-MPR value with [ ] in the drafting TP</w:t>
      </w:r>
    </w:p>
    <w:p>
      <w:pPr>
        <w:pStyle w:val="32"/>
        <w:numPr>
          <w:ilvl w:val="0"/>
          <w:numId w:val="4"/>
        </w:numPr>
        <w:rPr>
          <w:rFonts w:ascii="Calibri" w:hAnsi="Calibri" w:eastAsia="宋体" w:cs="Calibri"/>
          <w:color w:val="1F497D"/>
          <w:sz w:val="17"/>
          <w:szCs w:val="17"/>
          <w:shd w:val="clear" w:color="auto" w:fill="FFFFFF"/>
          <w:lang w:eastAsia="zh-CN"/>
        </w:rPr>
      </w:pPr>
      <w:r>
        <w:rPr>
          <w:rFonts w:ascii="Calibri" w:hAnsi="Calibri" w:eastAsia="宋体" w:cs="Calibri"/>
          <w:color w:val="1F497D"/>
          <w:sz w:val="17"/>
          <w:szCs w:val="17"/>
          <w:shd w:val="clear" w:color="auto" w:fill="FFFFFF"/>
          <w:lang w:eastAsia="zh-CN"/>
        </w:rPr>
        <w:t>Band n2, n25, n70 shall be protected; FFS how to protect n2, n25, n70 since the n256 UL overlap their DL</w:t>
      </w:r>
    </w:p>
    <w:p>
      <w:pPr>
        <w:pStyle w:val="32"/>
        <w:numPr>
          <w:ilvl w:val="1"/>
          <w:numId w:val="4"/>
        </w:numPr>
        <w:rPr>
          <w:rFonts w:ascii="Calibri" w:hAnsi="Calibri" w:eastAsia="宋体" w:cs="Calibri"/>
          <w:color w:val="1F497D"/>
          <w:sz w:val="17"/>
          <w:szCs w:val="17"/>
          <w:shd w:val="clear" w:color="auto" w:fill="FFFFFF"/>
          <w:lang w:eastAsia="zh-CN"/>
        </w:rPr>
      </w:pPr>
      <w:r>
        <w:rPr>
          <w:rFonts w:ascii="Calibri" w:hAnsi="Calibri" w:eastAsia="宋体" w:cs="Calibri"/>
          <w:color w:val="1F497D"/>
          <w:sz w:val="17"/>
          <w:szCs w:val="17"/>
          <w:shd w:val="clear" w:color="auto" w:fill="FFFFFF"/>
          <w:lang w:eastAsia="zh-CN"/>
        </w:rPr>
        <w:t>Include band n2, n25, n70 into co-existence table and including note “FFS on how to protect n2, n25, n70”</w:t>
      </w:r>
    </w:p>
    <w:p>
      <w:pPr>
        <w:pStyle w:val="32"/>
        <w:numPr>
          <w:ilvl w:val="0"/>
          <w:numId w:val="4"/>
        </w:numPr>
        <w:rPr>
          <w:rFonts w:ascii="Calibri" w:hAnsi="Calibri" w:eastAsia="宋体" w:cs="Calibri"/>
          <w:color w:val="1F497D"/>
          <w:sz w:val="17"/>
          <w:szCs w:val="17"/>
          <w:shd w:val="clear" w:color="auto" w:fill="FFFFFF"/>
          <w:lang w:eastAsia="zh-CN"/>
        </w:rPr>
      </w:pPr>
      <w:r>
        <w:rPr>
          <w:rFonts w:ascii="Calibri" w:hAnsi="Calibri" w:eastAsia="宋体" w:cs="Calibri"/>
          <w:color w:val="1F497D"/>
          <w:sz w:val="17"/>
          <w:szCs w:val="17"/>
          <w:shd w:val="clear" w:color="auto" w:fill="FFFFFF"/>
          <w:lang w:eastAsia="zh-CN"/>
        </w:rPr>
        <w:t xml:space="preserve">Band n39 shall be protected; FFS how to protect band n39 if reusing band n65 filter </w:t>
      </w:r>
    </w:p>
    <w:p>
      <w:pPr>
        <w:pStyle w:val="32"/>
        <w:numPr>
          <w:ilvl w:val="1"/>
          <w:numId w:val="4"/>
        </w:numPr>
        <w:rPr>
          <w:rFonts w:ascii="Calibri" w:hAnsi="Calibri" w:eastAsia="宋体" w:cs="Calibri"/>
          <w:color w:val="1F497D"/>
          <w:sz w:val="17"/>
          <w:szCs w:val="17"/>
          <w:shd w:val="clear" w:color="auto" w:fill="FFFFFF"/>
          <w:lang w:eastAsia="zh-CN"/>
        </w:rPr>
      </w:pPr>
      <w:r>
        <w:rPr>
          <w:rFonts w:ascii="Calibri" w:hAnsi="Calibri" w:eastAsia="宋体" w:cs="Calibri"/>
          <w:color w:val="1F497D"/>
          <w:sz w:val="17"/>
          <w:szCs w:val="17"/>
          <w:shd w:val="clear" w:color="auto" w:fill="FFFFFF"/>
          <w:lang w:eastAsia="zh-CN"/>
        </w:rPr>
        <w:t>Including a note into TP “FFS on how to protect n39”</w:t>
      </w:r>
    </w:p>
    <w:p>
      <w:pPr>
        <w:pStyle w:val="32"/>
        <w:numPr>
          <w:ilvl w:val="0"/>
          <w:numId w:val="4"/>
        </w:numPr>
        <w:spacing w:after="120"/>
        <w:rPr>
          <w:rFonts w:ascii="Calibri" w:hAnsi="Calibri" w:eastAsia="宋体" w:cs="Calibri"/>
          <w:color w:val="1F497D"/>
          <w:sz w:val="17"/>
          <w:szCs w:val="17"/>
          <w:shd w:val="clear" w:color="auto" w:fill="FFFFFF"/>
          <w:lang w:eastAsia="zh-CN"/>
        </w:rPr>
      </w:pPr>
      <w:r>
        <w:rPr>
          <w:rFonts w:ascii="Calibri" w:hAnsi="Calibri" w:eastAsia="宋体" w:cs="Calibri"/>
          <w:color w:val="1F497D"/>
          <w:sz w:val="17"/>
          <w:szCs w:val="17"/>
          <w:shd w:val="clear" w:color="auto" w:fill="FFFFFF"/>
          <w:lang w:eastAsia="zh-CN"/>
        </w:rPr>
        <w:t xml:space="preserve">Band 33, 35 and 37 shall be protected and FFS how to protect band 33,35 and 37 </w:t>
      </w:r>
    </w:p>
    <w:p>
      <w:pPr>
        <w:pStyle w:val="43"/>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default" w:eastAsia="宋体"/>
          <w:b w:val="0"/>
          <w:bCs w:val="0"/>
          <w:sz w:val="21"/>
          <w:szCs w:val="21"/>
          <w:highlight w:val="none"/>
          <w:lang w:val="en-US" w:eastAsia="zh-CN"/>
        </w:rPr>
      </w:pPr>
      <w:r>
        <w:rPr>
          <w:rFonts w:hint="eastAsia" w:eastAsia="宋体"/>
          <w:b w:val="0"/>
          <w:bCs w:val="0"/>
          <w:sz w:val="21"/>
          <w:szCs w:val="21"/>
          <w:highlight w:val="none"/>
          <w:lang w:val="en-US" w:eastAsia="zh-CN"/>
        </w:rPr>
        <w:t>2.1.1.  Coexistence with band n34</w:t>
      </w:r>
    </w:p>
    <w:p>
      <w:pPr>
        <w:pStyle w:val="32"/>
        <w:ind w:left="0" w:leftChars="0" w:firstLine="0" w:firstLineChars="0"/>
        <w:rPr>
          <w:rFonts w:hint="eastAsia"/>
          <w:lang w:val="en-US" w:eastAsia="zh-CN"/>
        </w:rPr>
      </w:pPr>
      <w:r>
        <w:rPr>
          <w:rFonts w:hint="eastAsia"/>
          <w:lang w:val="en-US" w:eastAsia="zh-CN"/>
        </w:rPr>
        <w:t xml:space="preserve">For the additional spurious emission requirement NS_24 for the protection of band 34 in section </w:t>
      </w:r>
      <w:r>
        <w:t>6.5.3.3.13</w:t>
      </w:r>
      <w:r>
        <w:rPr>
          <w:rFonts w:hint="eastAsia"/>
          <w:lang w:val="en-US" w:eastAsia="zh-CN"/>
        </w:rPr>
        <w:t xml:space="preserve"> of TS 38.10-1, indeed this -50dBm/MHz the same as transmit OFF power is used to protect the surrounding UEs from severe referens degradation. It should be noted that -50dBm/MHz is based on the aggressive UE and victim UE is close to each other e.g. 1m distance separation for indoor scenario and 5m distance separation for outdoor scenario. </w:t>
      </w:r>
    </w:p>
    <w:p>
      <w:pPr>
        <w:pStyle w:val="32"/>
        <w:ind w:left="0" w:leftChars="0" w:firstLine="0" w:firstLineChars="0"/>
        <w:rPr>
          <w:rFonts w:hint="default"/>
          <w:lang w:val="en-US" w:eastAsia="zh-CN"/>
        </w:rPr>
      </w:pPr>
      <w:r>
        <w:rPr>
          <w:rFonts w:hint="eastAsia"/>
          <w:lang w:val="en-US" w:eastAsia="zh-CN"/>
        </w:rPr>
        <w:t xml:space="preserve">However for UE capable of NTN module and TN module, it has been agreed that TN cell will be camped on with higher priorities, in other words, the TN coverage and NTN coverage will not be same as shown in Figure 1, some geographical distance separation between NTN UE and TN UE could be ensured by appropriate high layer signaling from RAN2 perspective. </w:t>
      </w:r>
    </w:p>
    <w:p>
      <w:pPr>
        <w:pStyle w:val="32"/>
        <w:ind w:left="0" w:leftChars="0" w:firstLine="0" w:firstLineChars="0"/>
        <w:rPr>
          <w:rFonts w:hint="default"/>
          <w:lang w:val="en-US" w:eastAsia="zh-CN"/>
        </w:rPr>
      </w:pPr>
      <w:r>
        <w:rPr>
          <w:rFonts w:hint="eastAsia"/>
          <w:lang w:val="en-US" w:eastAsia="zh-CN"/>
        </w:rPr>
        <w:t>In addition, as shown in Figure 1, if NTN UE is transmitting in band n256 without any geographical separation with TN UE camping on the band n34, then NTN UE has to meet the NS_24 requirements as documented in TS 38.101-1 for the protection of UE reception in band n34 which means large power backoff in NTN UE operating band n256 would be needed. This would have serve impacts on NTN uplink at the end since NTN UE is expecting to transmit with maximum output power in most cases, if larger A-MPR power power backoff is imposed for the protection of UE reception in band n34.</w:t>
      </w:r>
    </w:p>
    <w:p>
      <w:pPr>
        <w:pStyle w:val="32"/>
        <w:ind w:left="0" w:leftChars="0" w:firstLine="0" w:firstLineChars="0"/>
        <w:rPr>
          <w:rFonts w:hint="default"/>
          <w:lang w:val="en-US" w:eastAsia="zh-CN"/>
        </w:rPr>
      </w:pPr>
      <w:r>
        <w:rPr>
          <w:rFonts w:hint="eastAsia"/>
          <w:b/>
          <w:bCs/>
          <w:lang w:val="en-US" w:eastAsia="zh-CN"/>
        </w:rPr>
        <w:t>Observation 1:</w:t>
      </w:r>
      <w:r>
        <w:rPr>
          <w:rFonts w:hint="eastAsia"/>
          <w:lang w:val="en-US" w:eastAsia="zh-CN"/>
        </w:rPr>
        <w:t xml:space="preserve"> from n256 UL coexisting with n34 DL, some geographical separation between NTN coverage and TN coverage as shown in Figure 2 is needed, otherwise NTN uplink in band n256 would be severely impacted due to A-MPR requirement of NS_24.</w:t>
      </w:r>
    </w:p>
    <w:p>
      <w:pPr>
        <w:pStyle w:val="32"/>
        <w:ind w:left="0" w:leftChars="0" w:firstLine="0" w:firstLineChars="0"/>
      </w:pPr>
      <w:r>
        <w:drawing>
          <wp:inline distT="0" distB="0" distL="114300" distR="114300">
            <wp:extent cx="6184900" cy="1950085"/>
            <wp:effectExtent l="0" t="0" r="254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6184900" cy="1950085"/>
                    </a:xfrm>
                    <a:prstGeom prst="rect">
                      <a:avLst/>
                    </a:prstGeom>
                    <a:noFill/>
                    <a:ln>
                      <a:noFill/>
                    </a:ln>
                  </pic:spPr>
                </pic:pic>
              </a:graphicData>
            </a:graphic>
          </wp:inline>
        </w:drawing>
      </w:r>
    </w:p>
    <w:p>
      <w:pPr>
        <w:pStyle w:val="32"/>
        <w:ind w:left="0" w:leftChars="0" w:firstLine="0" w:firstLineChars="0"/>
        <w:jc w:val="center"/>
        <w:rPr>
          <w:rFonts w:hint="eastAsia"/>
          <w:lang w:val="en-US" w:eastAsia="zh-CN"/>
        </w:rPr>
      </w:pPr>
      <w:r>
        <w:rPr>
          <w:rFonts w:hint="eastAsia"/>
          <w:b/>
          <w:bCs/>
          <w:lang w:val="en-US" w:eastAsia="zh-CN"/>
        </w:rPr>
        <w:t>Figure 1</w:t>
      </w:r>
      <w:r>
        <w:rPr>
          <w:rFonts w:hint="eastAsia"/>
          <w:lang w:val="en-US" w:eastAsia="zh-CN"/>
        </w:rPr>
        <w:t>. typical NTN and TN coexistence scenario based on NTN coexistence study outcome</w:t>
      </w:r>
    </w:p>
    <w:p>
      <w:pPr>
        <w:pStyle w:val="32"/>
        <w:ind w:left="0" w:leftChars="0" w:firstLine="0" w:firstLineChars="0"/>
        <w:jc w:val="center"/>
        <w:rPr>
          <w:rFonts w:hint="eastAsia"/>
          <w:lang w:val="en-US" w:eastAsia="zh-CN"/>
        </w:rPr>
      </w:pPr>
    </w:p>
    <w:p>
      <w:pPr>
        <w:pStyle w:val="32"/>
        <w:ind w:left="0" w:leftChars="0" w:firstLine="0" w:firstLineChars="0"/>
        <w:jc w:val="center"/>
      </w:pPr>
      <w:r>
        <w:drawing>
          <wp:inline distT="0" distB="0" distL="114300" distR="114300">
            <wp:extent cx="5532120" cy="3688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532120" cy="3688080"/>
                    </a:xfrm>
                    <a:prstGeom prst="rect">
                      <a:avLst/>
                    </a:prstGeom>
                    <a:noFill/>
                    <a:ln>
                      <a:noFill/>
                    </a:ln>
                  </pic:spPr>
                </pic:pic>
              </a:graphicData>
            </a:graphic>
          </wp:inline>
        </w:drawing>
      </w:r>
    </w:p>
    <w:p>
      <w:pPr>
        <w:pStyle w:val="32"/>
        <w:ind w:left="0" w:leftChars="0" w:firstLine="0" w:firstLineChars="0"/>
        <w:jc w:val="center"/>
        <w:rPr>
          <w:rFonts w:hint="eastAsia"/>
          <w:lang w:val="en-US" w:eastAsia="zh-CN"/>
        </w:rPr>
      </w:pPr>
      <w:r>
        <w:rPr>
          <w:rFonts w:hint="eastAsia"/>
          <w:b/>
          <w:bCs/>
          <w:lang w:val="en-US" w:eastAsia="zh-CN"/>
        </w:rPr>
        <w:t>Figure 2</w:t>
      </w:r>
      <w:r>
        <w:rPr>
          <w:rFonts w:hint="eastAsia"/>
          <w:lang w:val="en-US" w:eastAsia="zh-CN"/>
        </w:rPr>
        <w:t>. the required NTN and TN coexistence scenario from uplink perspective</w:t>
      </w:r>
    </w:p>
    <w:p>
      <w:pPr>
        <w:pStyle w:val="32"/>
        <w:ind w:left="0" w:leftChars="0" w:firstLine="0" w:firstLineChars="0"/>
        <w:jc w:val="center"/>
        <w:rPr>
          <w:rFonts w:hint="eastAsia"/>
          <w:lang w:val="en-US" w:eastAsia="zh-CN"/>
        </w:rPr>
      </w:pPr>
    </w:p>
    <w:p>
      <w:pPr>
        <w:pStyle w:val="32"/>
        <w:ind w:left="0" w:leftChars="0" w:firstLine="0" w:firstLineChars="0"/>
        <w:rPr>
          <w:rFonts w:hint="eastAsia"/>
          <w:lang w:val="en-US" w:eastAsia="zh-CN"/>
        </w:rPr>
      </w:pPr>
      <w:r>
        <w:rPr>
          <w:rFonts w:hint="eastAsia"/>
          <w:lang w:val="en-US" w:eastAsia="zh-CN"/>
        </w:rPr>
        <w:t xml:space="preserve">In addition, as discussed during the NTN coexisting study phase, some geographical separation between TN and NTN is also needed for the protection of NTN UE, otherwise NTN UE ACS requirement would be up to 45-46dBc which is not feasible from UE implementation perspective.  </w:t>
      </w:r>
    </w:p>
    <w:p>
      <w:pPr>
        <w:pStyle w:val="32"/>
        <w:ind w:left="0" w:leftChars="0" w:firstLine="0" w:firstLineChars="0"/>
        <w:rPr>
          <w:rFonts w:hint="default"/>
          <w:lang w:val="en-US" w:eastAsia="zh-CN"/>
        </w:rPr>
      </w:pPr>
      <w:r>
        <w:rPr>
          <w:rFonts w:hint="eastAsia"/>
          <w:b/>
          <w:bCs/>
          <w:lang w:val="en-US" w:eastAsia="zh-CN"/>
        </w:rPr>
        <w:t>Observation 2:</w:t>
      </w:r>
      <w:r>
        <w:rPr>
          <w:rFonts w:hint="eastAsia"/>
          <w:lang w:val="en-US" w:eastAsia="zh-CN"/>
        </w:rPr>
        <w:t xml:space="preserve"> from n256 DL coexisting with n1 DL, some geographical separation between NTN coverage and TN coverage as shown in Figure 3 is needed, otherwise NTN DL in band n256 would be severely impacted due to TN DL interference in band n1.</w:t>
      </w:r>
    </w:p>
    <w:p>
      <w:pPr>
        <w:pStyle w:val="32"/>
        <w:ind w:left="0" w:leftChars="0" w:firstLine="0" w:firstLineChars="0"/>
        <w:rPr>
          <w:rFonts w:hint="default"/>
          <w:lang w:val="en-US" w:eastAsia="zh-CN"/>
        </w:rPr>
      </w:pPr>
    </w:p>
    <w:p>
      <w:pPr>
        <w:pStyle w:val="32"/>
        <w:ind w:left="0" w:leftChars="0" w:firstLine="0" w:firstLineChars="0"/>
        <w:jc w:val="both"/>
        <w:rPr>
          <w:rFonts w:hint="eastAsia"/>
          <w:lang w:val="en-US" w:eastAsia="zh-CN"/>
        </w:rPr>
      </w:pPr>
    </w:p>
    <w:p>
      <w:pPr>
        <w:pStyle w:val="32"/>
        <w:ind w:left="0" w:leftChars="0" w:firstLine="0" w:firstLineChars="0"/>
        <w:jc w:val="center"/>
        <w:rPr>
          <w:rFonts w:hint="eastAsia"/>
          <w:lang w:val="en-US" w:eastAsia="zh-CN"/>
        </w:rPr>
      </w:pPr>
      <w:r>
        <w:drawing>
          <wp:inline distT="0" distB="0" distL="114300" distR="114300">
            <wp:extent cx="5532120" cy="368808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5532120" cy="3688080"/>
                    </a:xfrm>
                    <a:prstGeom prst="rect">
                      <a:avLst/>
                    </a:prstGeom>
                    <a:noFill/>
                    <a:ln>
                      <a:noFill/>
                    </a:ln>
                  </pic:spPr>
                </pic:pic>
              </a:graphicData>
            </a:graphic>
          </wp:inline>
        </w:drawing>
      </w:r>
    </w:p>
    <w:p>
      <w:pPr>
        <w:pStyle w:val="32"/>
        <w:ind w:left="0" w:leftChars="0" w:firstLine="0" w:firstLineChars="0"/>
        <w:jc w:val="center"/>
        <w:rPr>
          <w:rFonts w:hint="eastAsia"/>
          <w:b/>
          <w:bCs/>
          <w:lang w:val="en-US" w:eastAsia="zh-CN"/>
        </w:rPr>
      </w:pPr>
      <w:r>
        <w:rPr>
          <w:rFonts w:hint="eastAsia"/>
          <w:b/>
          <w:bCs/>
          <w:lang w:val="en-US" w:eastAsia="zh-CN"/>
        </w:rPr>
        <w:t>Figure 3.</w:t>
      </w:r>
      <w:r>
        <w:rPr>
          <w:rFonts w:hint="eastAsia"/>
          <w:lang w:val="en-US" w:eastAsia="zh-CN"/>
        </w:rPr>
        <w:t xml:space="preserve"> the required NTN and TN coexistence scenario from downlink perspective</w:t>
      </w:r>
    </w:p>
    <w:p>
      <w:pPr>
        <w:pStyle w:val="32"/>
        <w:ind w:left="0" w:leftChars="0" w:firstLine="0" w:firstLineChars="0"/>
        <w:jc w:val="left"/>
        <w:rPr>
          <w:rFonts w:hint="default"/>
          <w:lang w:val="en-US" w:eastAsia="zh-CN"/>
        </w:rPr>
      </w:pPr>
      <w:r>
        <w:rPr>
          <w:rFonts w:hint="eastAsia"/>
          <w:lang w:val="en-US" w:eastAsia="zh-CN"/>
        </w:rPr>
        <w:t>Based on the above analysis, we proposed to define some signalling mechanism in RAN2 to enable the isolation region between NTN coverage and TN coverage as shown in Figure 2 and Figure 3 on different purpose for NTN and TN coexistence.</w:t>
      </w:r>
    </w:p>
    <w:p>
      <w:pPr>
        <w:pStyle w:val="32"/>
        <w:ind w:left="0" w:leftChars="0" w:firstLine="0" w:firstLineChars="0"/>
        <w:rPr>
          <w:rFonts w:hint="eastAsia"/>
          <w:b/>
          <w:bCs/>
          <w:lang w:val="en-US" w:eastAsia="zh-CN"/>
        </w:rPr>
      </w:pPr>
      <w:r>
        <w:rPr>
          <w:rFonts w:hint="eastAsia"/>
          <w:b/>
          <w:bCs/>
          <w:lang w:val="en-US" w:eastAsia="zh-CN"/>
        </w:rPr>
        <w:t xml:space="preserve">Proposal 1: </w:t>
      </w:r>
      <w:r>
        <w:rPr>
          <w:rFonts w:hint="eastAsia"/>
          <w:b w:val="0"/>
          <w:bCs w:val="0"/>
          <w:lang w:val="en-US" w:eastAsia="zh-CN"/>
        </w:rPr>
        <w:t>propose to</w:t>
      </w:r>
      <w:r>
        <w:rPr>
          <w:rFonts w:hint="eastAsia"/>
          <w:lang w:val="en-US" w:eastAsia="zh-CN"/>
        </w:rPr>
        <w:t xml:space="preserve"> define some signalling mechanism in RAN2 to enable the isolation region between NTN coverage and TN coverage and send the corresponding LS to RAN2.</w:t>
      </w:r>
      <w:r>
        <w:rPr>
          <w:rFonts w:hint="eastAsia"/>
          <w:b/>
          <w:bCs/>
          <w:lang w:val="en-US" w:eastAsia="zh-CN"/>
        </w:rPr>
        <w:t xml:space="preserve"> </w:t>
      </w:r>
    </w:p>
    <w:p>
      <w:pPr>
        <w:pStyle w:val="32"/>
        <w:ind w:left="0" w:leftChars="0" w:firstLine="0" w:firstLineChars="0"/>
        <w:rPr>
          <w:rFonts w:hint="default"/>
          <w:b/>
          <w:bCs/>
          <w:lang w:val="en-US" w:eastAsia="zh-CN"/>
        </w:rPr>
      </w:pPr>
      <w:r>
        <w:rPr>
          <w:rFonts w:hint="eastAsia"/>
          <w:b/>
          <w:bCs/>
          <w:lang w:val="en-US" w:eastAsia="zh-CN"/>
        </w:rPr>
        <w:t xml:space="preserve">Proposal 2: </w:t>
      </w:r>
      <w:r>
        <w:rPr>
          <w:rFonts w:hint="eastAsia"/>
          <w:b w:val="0"/>
          <w:bCs w:val="0"/>
          <w:lang w:val="en-US" w:eastAsia="zh-CN"/>
        </w:rPr>
        <w:t>propose not to define NS_24 and A-MPR requirements for n256 if isolation regions between NTN coverage and TN coverage is enabled.</w:t>
      </w:r>
    </w:p>
    <w:p>
      <w:pPr>
        <w:pStyle w:val="43"/>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default" w:eastAsia="宋体"/>
          <w:b w:val="0"/>
          <w:bCs w:val="0"/>
          <w:sz w:val="21"/>
          <w:szCs w:val="21"/>
          <w:highlight w:val="none"/>
          <w:lang w:val="en-US" w:eastAsia="zh-CN"/>
        </w:rPr>
      </w:pPr>
      <w:r>
        <w:rPr>
          <w:rFonts w:hint="eastAsia" w:eastAsia="宋体"/>
          <w:b w:val="0"/>
          <w:bCs w:val="0"/>
          <w:sz w:val="21"/>
          <w:szCs w:val="21"/>
          <w:highlight w:val="none"/>
          <w:lang w:val="en-US" w:eastAsia="zh-CN"/>
        </w:rPr>
        <w:t>2.1.2.  Coexistence with band n39</w:t>
      </w:r>
    </w:p>
    <w:p>
      <w:pPr>
        <w:pStyle w:val="32"/>
        <w:ind w:left="0" w:leftChars="0" w:firstLine="0" w:firstLineChars="0"/>
        <w:rPr>
          <w:rFonts w:hint="default"/>
          <w:b w:val="0"/>
          <w:bCs w:val="0"/>
          <w:lang w:val="en-US" w:eastAsia="zh-CN"/>
        </w:rPr>
      </w:pPr>
      <w:r>
        <w:rPr>
          <w:rFonts w:hint="eastAsia"/>
          <w:b w:val="0"/>
          <w:bCs w:val="0"/>
          <w:lang w:val="en-US" w:eastAsia="zh-CN"/>
        </w:rPr>
        <w:t>In the last RAN4 meeting, coexistence issue between NTN band n256 and TN band n39 at UE is also raised and captured as following:</w:t>
      </w:r>
    </w:p>
    <w:p>
      <w:pPr>
        <w:pStyle w:val="32"/>
        <w:ind w:left="0" w:leftChars="0" w:firstLine="0" w:firstLineChars="0"/>
        <w:rPr>
          <w:rFonts w:hint="default"/>
          <w:b w:val="0"/>
          <w:bCs w:val="0"/>
          <w:lang w:val="en-US" w:eastAsia="zh-CN"/>
        </w:rPr>
      </w:pPr>
    </w:p>
    <w:p>
      <w:pPr>
        <w:pStyle w:val="32"/>
        <w:numPr>
          <w:ilvl w:val="0"/>
          <w:numId w:val="4"/>
        </w:numPr>
        <w:rPr>
          <w:rFonts w:ascii="Calibri" w:hAnsi="Calibri" w:eastAsia="宋体" w:cs="Calibri"/>
          <w:color w:val="1F497D"/>
          <w:sz w:val="17"/>
          <w:szCs w:val="17"/>
          <w:shd w:val="clear" w:color="auto" w:fill="FFFFFF"/>
          <w:lang w:eastAsia="zh-CN"/>
        </w:rPr>
      </w:pPr>
      <w:r>
        <w:rPr>
          <w:rFonts w:ascii="Calibri" w:hAnsi="Calibri" w:eastAsia="宋体" w:cs="Calibri"/>
          <w:color w:val="1F497D"/>
          <w:sz w:val="17"/>
          <w:szCs w:val="17"/>
          <w:shd w:val="clear" w:color="auto" w:fill="FFFFFF"/>
          <w:lang w:eastAsia="zh-CN"/>
        </w:rPr>
        <w:t xml:space="preserve">Band n39 shall be protected; FFS how to protect band n39 if reusing band n65 filter </w:t>
      </w:r>
    </w:p>
    <w:p>
      <w:pPr>
        <w:pStyle w:val="32"/>
        <w:numPr>
          <w:ilvl w:val="1"/>
          <w:numId w:val="4"/>
        </w:numPr>
        <w:rPr>
          <w:rFonts w:hint="default"/>
          <w:lang w:val="en-US" w:eastAsia="zh-CN"/>
        </w:rPr>
      </w:pPr>
      <w:r>
        <w:rPr>
          <w:rFonts w:ascii="Calibri" w:hAnsi="Calibri" w:eastAsia="宋体" w:cs="Calibri"/>
          <w:color w:val="1F497D"/>
          <w:sz w:val="17"/>
          <w:szCs w:val="17"/>
          <w:shd w:val="clear" w:color="auto" w:fill="FFFFFF"/>
          <w:lang w:eastAsia="zh-CN"/>
        </w:rPr>
        <w:t>Including a note into TP “FFS on how to protect n39”</w:t>
      </w:r>
      <w:r>
        <w:rPr>
          <w:rFonts w:hint="default"/>
          <w:lang w:val="en-US" w:eastAsia="zh-CN"/>
        </w:rPr>
        <w:br w:type="page"/>
      </w:r>
    </w:p>
    <w:p>
      <w:pPr>
        <w:spacing w:after="180"/>
        <w:rPr>
          <w:rFonts w:hint="default"/>
          <w:lang w:val="en-US" w:eastAsia="zh-CN"/>
        </w:rPr>
      </w:pPr>
      <w:r>
        <w:rPr>
          <w:rFonts w:hint="eastAsia"/>
          <w:lang w:val="en-US" w:eastAsia="zh-CN"/>
        </w:rPr>
        <w:t>Indeed during the last RAN4 meeting, it was already pointed out that t</w:t>
      </w:r>
      <w:r>
        <w:rPr>
          <w:lang w:eastAsia="zh-CN"/>
        </w:rPr>
        <w:t>he maximum carrier centre frequency of</w:t>
      </w:r>
      <w:r>
        <w:rPr>
          <w:rFonts w:hint="eastAsia"/>
          <w:lang w:val="en-US" w:eastAsia="zh-CN"/>
        </w:rPr>
        <w:t xml:space="preserve"> A-MPR requirements for</w:t>
      </w:r>
      <w:r>
        <w:rPr>
          <w:lang w:eastAsia="zh-CN"/>
        </w:rPr>
        <w:t xml:space="preserve"> </w:t>
      </w:r>
      <w:r>
        <w:t xml:space="preserve">NS_05 and NS_05U is lower than 1960 MHz and </w:t>
      </w:r>
      <w:r>
        <w:rPr>
          <w:lang w:eastAsia="zh-CN"/>
        </w:rPr>
        <w:t xml:space="preserve">the maximum carrier centre frequency of </w:t>
      </w:r>
      <w:r>
        <w:t xml:space="preserve">NS_51 is lower than 1980 MHz, it is proposed NS_05, NS_05U and NS_51 </w:t>
      </w:r>
      <w:r>
        <w:rPr>
          <w:rFonts w:hint="eastAsia"/>
          <w:lang w:val="en-US" w:eastAsia="zh-CN"/>
        </w:rPr>
        <w:t xml:space="preserve">is not applicable for n256 anymore. </w:t>
      </w:r>
    </w:p>
    <w:p>
      <w:pPr>
        <w:pStyle w:val="43"/>
      </w:pPr>
      <w:r>
        <w:t xml:space="preserve">Table 6.5.3.3.4-1: Additional requirements for </w:t>
      </w:r>
      <w:r>
        <w:rPr>
          <w:rFonts w:eastAsia="宋体"/>
        </w:rPr>
        <w:t>"NS_05"</w:t>
      </w:r>
    </w:p>
    <w:tbl>
      <w:tblPr>
        <w:tblStyle w:val="22"/>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1"/>
        <w:gridCol w:w="4417"/>
        <w:gridCol w:w="1377"/>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2071" w:type="dxa"/>
            <w:tcBorders>
              <w:bottom w:val="nil"/>
            </w:tcBorders>
            <w:shd w:val="clear" w:color="auto" w:fill="auto"/>
          </w:tcPr>
          <w:p>
            <w:pPr>
              <w:keepNext/>
              <w:keepLines/>
              <w:spacing w:after="0"/>
              <w:jc w:val="center"/>
              <w:rPr>
                <w:rFonts w:ascii="Arial" w:hAnsi="Arial" w:eastAsia="Yu Mincho" w:cs="Arial"/>
                <w:b/>
                <w:sz w:val="18"/>
              </w:rPr>
            </w:pPr>
            <w:r>
              <w:rPr>
                <w:rFonts w:ascii="Arial" w:hAnsi="Arial" w:eastAsia="Yu Mincho" w:cs="Arial"/>
                <w:b/>
                <w:sz w:val="18"/>
              </w:rPr>
              <w:t>Frequency band</w:t>
            </w:r>
          </w:p>
          <w:p>
            <w:pPr>
              <w:keepNext/>
              <w:keepLines/>
              <w:spacing w:after="0"/>
              <w:jc w:val="center"/>
              <w:rPr>
                <w:rFonts w:ascii="Arial" w:hAnsi="Arial" w:eastAsia="Yu Mincho" w:cs="Arial"/>
                <w:b/>
                <w:sz w:val="18"/>
              </w:rPr>
            </w:pPr>
            <w:r>
              <w:rPr>
                <w:rFonts w:ascii="Arial" w:hAnsi="Arial" w:eastAsia="Yu Mincho" w:cs="Arial"/>
                <w:b/>
                <w:sz w:val="18"/>
              </w:rPr>
              <w:t>(MHz)</w:t>
            </w:r>
          </w:p>
        </w:tc>
        <w:tc>
          <w:tcPr>
            <w:tcW w:w="4417" w:type="dxa"/>
          </w:tcPr>
          <w:p>
            <w:pPr>
              <w:keepNext/>
              <w:keepLines/>
              <w:spacing w:after="0"/>
              <w:jc w:val="center"/>
              <w:rPr>
                <w:rFonts w:ascii="Arial" w:hAnsi="Arial" w:eastAsia="宋体" w:cs="Arial"/>
                <w:b/>
                <w:sz w:val="18"/>
              </w:rPr>
            </w:pPr>
            <w:r>
              <w:rPr>
                <w:rFonts w:ascii="Arial" w:hAnsi="Arial" w:eastAsia="Yu Mincho" w:cs="Arial"/>
                <w:b/>
                <w:sz w:val="18"/>
              </w:rPr>
              <w:t>Channel bandwidth (MHz) / Spectrum emission limit (dBm)</w:t>
            </w:r>
          </w:p>
        </w:tc>
        <w:tc>
          <w:tcPr>
            <w:tcW w:w="1377" w:type="dxa"/>
            <w:tcBorders>
              <w:bottom w:val="nil"/>
            </w:tcBorders>
            <w:shd w:val="clear" w:color="auto" w:fill="auto"/>
          </w:tcPr>
          <w:p>
            <w:pPr>
              <w:keepNext/>
              <w:keepLines/>
              <w:spacing w:after="0"/>
              <w:jc w:val="center"/>
              <w:rPr>
                <w:rFonts w:ascii="Arial" w:hAnsi="Arial" w:eastAsia="Yu Mincho" w:cs="Arial"/>
                <w:b/>
                <w:sz w:val="18"/>
              </w:rPr>
            </w:pPr>
            <w:r>
              <w:rPr>
                <w:rFonts w:ascii="Arial" w:hAnsi="Arial" w:eastAsia="Yu Mincho" w:cs="Arial"/>
                <w:b/>
                <w:sz w:val="18"/>
              </w:rPr>
              <w:t xml:space="preserve">Measurement bandwidth </w:t>
            </w:r>
          </w:p>
        </w:tc>
        <w:tc>
          <w:tcPr>
            <w:tcW w:w="862" w:type="dxa"/>
            <w:tcBorders>
              <w:bottom w:val="nil"/>
            </w:tcBorders>
            <w:shd w:val="clear" w:color="auto" w:fill="auto"/>
          </w:tcPr>
          <w:p>
            <w:pPr>
              <w:keepNext/>
              <w:keepLines/>
              <w:spacing w:after="0"/>
              <w:jc w:val="center"/>
              <w:rPr>
                <w:rFonts w:ascii="Arial" w:hAnsi="Arial" w:eastAsia="Yu Mincho"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071" w:type="dxa"/>
            <w:tcBorders>
              <w:top w:val="nil"/>
            </w:tcBorders>
            <w:shd w:val="clear" w:color="auto" w:fill="auto"/>
          </w:tcPr>
          <w:p>
            <w:pPr>
              <w:keepNext/>
              <w:keepLines/>
              <w:spacing w:after="0"/>
              <w:jc w:val="center"/>
              <w:rPr>
                <w:rFonts w:ascii="Arial" w:hAnsi="Arial" w:cs="Arial"/>
                <w:snapToGrid w:val="0"/>
                <w:kern w:val="2"/>
                <w:sz w:val="18"/>
                <w:szCs w:val="18"/>
              </w:rPr>
            </w:pPr>
          </w:p>
        </w:tc>
        <w:tc>
          <w:tcPr>
            <w:tcW w:w="4417" w:type="dxa"/>
          </w:tcPr>
          <w:p>
            <w:pPr>
              <w:keepNext/>
              <w:keepLines/>
              <w:spacing w:after="0"/>
              <w:jc w:val="center"/>
              <w:rPr>
                <w:rFonts w:ascii="Arial" w:hAnsi="Arial" w:eastAsia="Yu Mincho" w:cs="Arial"/>
                <w:b/>
                <w:sz w:val="18"/>
              </w:rPr>
            </w:pPr>
            <w:r>
              <w:rPr>
                <w:rFonts w:ascii="Arial" w:hAnsi="Arial" w:eastAsia="Yu Mincho" w:cs="Arial"/>
                <w:b/>
                <w:sz w:val="18"/>
              </w:rPr>
              <w:t>5, 10, 15, 20</w:t>
            </w:r>
          </w:p>
        </w:tc>
        <w:tc>
          <w:tcPr>
            <w:tcW w:w="1377" w:type="dxa"/>
            <w:tcBorders>
              <w:top w:val="nil"/>
            </w:tcBorders>
            <w:shd w:val="clear" w:color="auto" w:fill="auto"/>
          </w:tcPr>
          <w:p>
            <w:pPr>
              <w:keepNext/>
              <w:keepLines/>
              <w:spacing w:after="0"/>
              <w:jc w:val="center"/>
              <w:rPr>
                <w:rFonts w:ascii="Arial" w:hAnsi="Arial" w:cs="Arial"/>
                <w:snapToGrid w:val="0"/>
                <w:kern w:val="2"/>
                <w:sz w:val="18"/>
                <w:szCs w:val="18"/>
              </w:rPr>
            </w:pPr>
          </w:p>
        </w:tc>
        <w:tc>
          <w:tcPr>
            <w:tcW w:w="862" w:type="dxa"/>
            <w:tcBorders>
              <w:top w:val="nil"/>
            </w:tcBorders>
            <w:shd w:val="clear" w:color="auto" w:fill="auto"/>
          </w:tcPr>
          <w:p>
            <w:pPr>
              <w:keepNext/>
              <w:keepLines/>
              <w:spacing w:after="0"/>
              <w:jc w:val="center"/>
              <w:rPr>
                <w:rFonts w:ascii="Arial" w:hAnsi="Arial" w:cs="Arial"/>
                <w:snapToGrid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071" w:type="dxa"/>
          </w:tcPr>
          <w:p>
            <w:pPr>
              <w:keepNext/>
              <w:keepLines/>
              <w:spacing w:after="0"/>
              <w:jc w:val="center"/>
              <w:rPr>
                <w:rFonts w:ascii="Arial" w:hAnsi="Arial" w:eastAsia="Yu Mincho" w:cs="Arial"/>
                <w:sz w:val="18"/>
              </w:rPr>
            </w:pPr>
            <w:r>
              <w:rPr>
                <w:rFonts w:ascii="Arial" w:hAnsi="Arial" w:eastAsia="Yu Mincho" w:cs="Arial"/>
                <w:sz w:val="18"/>
              </w:rPr>
              <w:t xml:space="preserve">1884.5 </w:t>
            </w:r>
            <w:r>
              <w:rPr>
                <w:rFonts w:ascii="Symbol" w:hAnsi="Symbol" w:eastAsia="Yu Mincho" w:cs="Arial"/>
              </w:rPr>
              <w:t></w:t>
            </w:r>
            <w:r>
              <w:rPr>
                <w:rFonts w:ascii="Arial" w:hAnsi="Arial" w:eastAsia="Yu Mincho" w:cs="Arial"/>
                <w:sz w:val="18"/>
              </w:rPr>
              <w:t xml:space="preserve">f </w:t>
            </w:r>
            <w:r>
              <w:rPr>
                <w:rFonts w:ascii="Symbol" w:hAnsi="Symbol" w:eastAsia="Yu Mincho" w:cs="Arial"/>
              </w:rPr>
              <w:t></w:t>
            </w:r>
            <w:r>
              <w:rPr>
                <w:rFonts w:ascii="Arial" w:hAnsi="Arial" w:eastAsia="Yu Mincho" w:cs="Arial"/>
                <w:sz w:val="18"/>
              </w:rPr>
              <w:t>1915.7</w:t>
            </w:r>
          </w:p>
        </w:tc>
        <w:tc>
          <w:tcPr>
            <w:tcW w:w="4417" w:type="dxa"/>
          </w:tcPr>
          <w:p>
            <w:pPr>
              <w:keepNext/>
              <w:keepLines/>
              <w:spacing w:after="0"/>
              <w:jc w:val="center"/>
              <w:rPr>
                <w:rFonts w:ascii="Arial" w:hAnsi="Arial" w:eastAsia="Yu Mincho" w:cs="Arial"/>
                <w:sz w:val="18"/>
              </w:rPr>
            </w:pPr>
            <w:r>
              <w:rPr>
                <w:rFonts w:ascii="Arial" w:hAnsi="Arial" w:eastAsia="Yu Mincho" w:cs="Arial"/>
                <w:sz w:val="18"/>
              </w:rPr>
              <w:t>-41</w:t>
            </w:r>
          </w:p>
        </w:tc>
        <w:tc>
          <w:tcPr>
            <w:tcW w:w="1377" w:type="dxa"/>
          </w:tcPr>
          <w:p>
            <w:pPr>
              <w:keepNext/>
              <w:keepLines/>
              <w:spacing w:after="0"/>
              <w:jc w:val="center"/>
              <w:rPr>
                <w:rFonts w:ascii="Arial" w:hAnsi="Arial" w:eastAsia="Yu Mincho" w:cs="Arial"/>
                <w:sz w:val="18"/>
              </w:rPr>
            </w:pPr>
            <w:r>
              <w:rPr>
                <w:rFonts w:ascii="Arial" w:hAnsi="Arial" w:eastAsia="Yu Mincho" w:cs="Arial"/>
                <w:sz w:val="18"/>
              </w:rPr>
              <w:t>300 kHz</w:t>
            </w:r>
          </w:p>
        </w:tc>
        <w:tc>
          <w:tcPr>
            <w:tcW w:w="862" w:type="dxa"/>
          </w:tcPr>
          <w:p>
            <w:pPr>
              <w:keepNext/>
              <w:keepLines/>
              <w:spacing w:after="0"/>
              <w:jc w:val="center"/>
              <w:rPr>
                <w:rFonts w:ascii="Arial" w:hAnsi="Arial" w:eastAsia="Yu Mincho" w:cs="Arial"/>
                <w:sz w:val="18"/>
              </w:rPr>
            </w:pPr>
          </w:p>
        </w:tc>
      </w:tr>
    </w:tbl>
    <w:p>
      <w:pPr>
        <w:pStyle w:val="32"/>
        <w:ind w:left="0" w:leftChars="0" w:firstLine="0" w:firstLineChars="0"/>
        <w:rPr>
          <w:rFonts w:hint="default" w:eastAsia="宋体"/>
          <w:lang w:val="en-US" w:eastAsia="zh-CN"/>
        </w:rPr>
      </w:pPr>
    </w:p>
    <w:p>
      <w:pPr>
        <w:spacing w:after="180"/>
        <w:rPr>
          <w:rFonts w:hint="default"/>
          <w:lang w:val="en-US" w:eastAsia="zh-CN"/>
        </w:rPr>
      </w:pPr>
      <w:r>
        <w:rPr>
          <w:rFonts w:hint="eastAsia"/>
          <w:lang w:val="en-US" w:eastAsia="zh-CN"/>
        </w:rPr>
        <w:t>Similar as coexistence with band n34 DL, if isolation region between NTN coverage and TN coverage could be also enabled for coexistence with band n39, then we think that it should be also okay not to define NS_05 and NS_51 requirements and the corresponding A-MPR requirements for NTN n256 UL coexisting with TN n39 DL.</w:t>
      </w:r>
    </w:p>
    <w:p>
      <w:pPr>
        <w:pStyle w:val="32"/>
        <w:ind w:left="0" w:leftChars="0" w:firstLine="0" w:firstLineChars="0"/>
        <w:rPr>
          <w:rFonts w:hint="eastAsia"/>
          <w:b w:val="0"/>
          <w:bCs w:val="0"/>
          <w:lang w:val="en-US" w:eastAsia="zh-CN"/>
        </w:rPr>
      </w:pPr>
      <w:r>
        <w:rPr>
          <w:rFonts w:hint="eastAsia"/>
          <w:b/>
          <w:bCs/>
          <w:lang w:val="en-US" w:eastAsia="zh-CN"/>
        </w:rPr>
        <w:t xml:space="preserve">Proposal 3: </w:t>
      </w:r>
      <w:r>
        <w:rPr>
          <w:rFonts w:hint="eastAsia"/>
          <w:lang w:val="en-US" w:eastAsia="zh-CN"/>
        </w:rPr>
        <w:t xml:space="preserve">propose to not define NS_05 and NS_51 and corresponding A-MPR requirements for n256 </w:t>
      </w:r>
      <w:r>
        <w:rPr>
          <w:rFonts w:hint="eastAsia"/>
          <w:b w:val="0"/>
          <w:bCs w:val="0"/>
          <w:lang w:val="en-US" w:eastAsia="zh-CN"/>
        </w:rPr>
        <w:t>if isolation regions between NTN coverage and TN coverage is enabled.</w:t>
      </w:r>
    </w:p>
    <w:p>
      <w:pPr>
        <w:pStyle w:val="32"/>
        <w:ind w:left="0" w:leftChars="0" w:firstLine="0" w:firstLineChars="0"/>
        <w:rPr>
          <w:rFonts w:hint="eastAsia"/>
          <w:b w:val="0"/>
          <w:bCs w:val="0"/>
          <w:lang w:val="en-US" w:eastAsia="zh-CN"/>
        </w:rPr>
      </w:pPr>
    </w:p>
    <w:p>
      <w:pPr>
        <w:pStyle w:val="43"/>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default" w:eastAsia="宋体"/>
          <w:b w:val="0"/>
          <w:bCs w:val="0"/>
          <w:sz w:val="21"/>
          <w:szCs w:val="21"/>
          <w:highlight w:val="none"/>
          <w:lang w:val="en-US" w:eastAsia="zh-CN"/>
        </w:rPr>
      </w:pPr>
      <w:r>
        <w:rPr>
          <w:rFonts w:hint="eastAsia" w:eastAsia="宋体"/>
          <w:b w:val="0"/>
          <w:bCs w:val="0"/>
          <w:sz w:val="21"/>
          <w:szCs w:val="21"/>
          <w:highlight w:val="none"/>
          <w:lang w:val="en-US" w:eastAsia="zh-CN"/>
        </w:rPr>
        <w:t>2.1.</w:t>
      </w:r>
      <w:r>
        <w:rPr>
          <w:rFonts w:hint="eastAsia"/>
          <w:b w:val="0"/>
          <w:bCs w:val="0"/>
          <w:sz w:val="21"/>
          <w:szCs w:val="21"/>
          <w:highlight w:val="none"/>
          <w:lang w:val="en-US" w:eastAsia="zh-CN"/>
        </w:rPr>
        <w:t>3</w:t>
      </w:r>
      <w:r>
        <w:rPr>
          <w:rFonts w:hint="eastAsia" w:eastAsia="宋体"/>
          <w:b w:val="0"/>
          <w:bCs w:val="0"/>
          <w:sz w:val="21"/>
          <w:szCs w:val="21"/>
          <w:highlight w:val="none"/>
          <w:lang w:val="en-US" w:eastAsia="zh-CN"/>
        </w:rPr>
        <w:t xml:space="preserve">.  Coexistence with </w:t>
      </w:r>
      <w:r>
        <w:rPr>
          <w:rFonts w:hint="eastAsia"/>
          <w:b w:val="0"/>
          <w:bCs w:val="0"/>
          <w:sz w:val="21"/>
          <w:szCs w:val="21"/>
          <w:highlight w:val="none"/>
          <w:lang w:val="en-US" w:eastAsia="zh-CN"/>
        </w:rPr>
        <w:t>other TN bands</w:t>
      </w:r>
    </w:p>
    <w:p>
      <w:pPr>
        <w:pStyle w:val="32"/>
        <w:ind w:left="0" w:leftChars="0" w:firstLine="0" w:firstLineChars="0"/>
        <w:rPr>
          <w:rFonts w:hint="default"/>
          <w:b w:val="0"/>
          <w:bCs w:val="0"/>
          <w:lang w:val="en-US" w:eastAsia="zh-CN"/>
        </w:rPr>
      </w:pPr>
      <w:r>
        <w:rPr>
          <w:rFonts w:hint="eastAsia"/>
          <w:b w:val="0"/>
          <w:bCs w:val="0"/>
          <w:lang w:val="en-US" w:eastAsia="zh-CN"/>
        </w:rPr>
        <w:t>In the last RAN4 meeting, there were lots of other bands raised by interested companies as shown in the following figure need to be protected from band n256 UL. From our understanding, if isolation regions between NTN coverage and TN coverage could be enabled, then all coexistence issues could be easily resolved by geographical separation without too much power backoff or A-MPR requirements needed for NTN UE to meet the coexistence requirements. If there is no consensus reached for coexistence between these bands, we propose to leave it to future release and declare the coexistence between n256 and those TN bands is not specified in Rel-17.</w:t>
      </w:r>
    </w:p>
    <w:p>
      <w:pPr>
        <w:pStyle w:val="32"/>
        <w:ind w:left="0" w:leftChars="0" w:firstLine="0" w:firstLineChars="0"/>
      </w:pPr>
      <w:r>
        <w:object>
          <v:shape id="_x0000_i1025" o:spt="75" type="#_x0000_t75" style="height:244.95pt;width:415.2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32"/>
        <w:ind w:left="0" w:leftChars="0" w:firstLine="0" w:firstLineChars="0"/>
        <w:jc w:val="center"/>
        <w:rPr>
          <w:rFonts w:hint="eastAsia"/>
          <w:lang w:val="en-US" w:eastAsia="zh-CN"/>
        </w:rPr>
      </w:pPr>
      <w:r>
        <w:rPr>
          <w:rFonts w:hint="eastAsia"/>
          <w:b/>
          <w:bCs/>
          <w:lang w:val="en-US" w:eastAsia="zh-CN"/>
        </w:rPr>
        <w:t>Figure 4.</w:t>
      </w:r>
      <w:r>
        <w:rPr>
          <w:rFonts w:hint="eastAsia"/>
          <w:lang w:val="en-US" w:eastAsia="zh-CN"/>
        </w:rPr>
        <w:t xml:space="preserve"> illustration of coexistence between n256 band UL and other TN bands DL</w:t>
      </w:r>
    </w:p>
    <w:p>
      <w:pPr>
        <w:pStyle w:val="32"/>
        <w:ind w:left="0" w:leftChars="0" w:firstLine="0" w:firstLineChars="0"/>
        <w:rPr>
          <w:rFonts w:hint="default"/>
          <w:b w:val="0"/>
          <w:bCs w:val="0"/>
          <w:lang w:val="en-US" w:eastAsia="zh-CN"/>
        </w:rPr>
      </w:pPr>
      <w:r>
        <w:rPr>
          <w:rFonts w:hint="eastAsia"/>
          <w:b/>
          <w:bCs/>
          <w:lang w:val="en-US" w:eastAsia="zh-CN"/>
        </w:rPr>
        <w:t>Proposal 4:</w:t>
      </w:r>
      <w:r>
        <w:rPr>
          <w:rFonts w:hint="eastAsia"/>
          <w:b w:val="0"/>
          <w:bCs w:val="0"/>
          <w:lang w:val="en-US" w:eastAsia="zh-CN"/>
        </w:rPr>
        <w:t xml:space="preserve"> If there is no consensus reached for coexistence between these bands (e.g. n2, n25, n70, 33, 35 and 37 etc), we propose to leave it to future release and declare the coexistence between n256 and those TN bands is not specified in Rel-17.</w:t>
      </w:r>
    </w:p>
    <w:p>
      <w:pPr>
        <w:pStyle w:val="43"/>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eastAsia"/>
          <w:b w:val="0"/>
          <w:bCs w:val="0"/>
          <w:sz w:val="24"/>
          <w:szCs w:val="24"/>
          <w:highlight w:val="none"/>
          <w:lang w:val="en-US" w:eastAsia="zh-CN"/>
        </w:rPr>
      </w:pPr>
      <w:r>
        <w:rPr>
          <w:rFonts w:hint="eastAsia" w:eastAsia="宋体"/>
          <w:b w:val="0"/>
          <w:bCs w:val="0"/>
          <w:sz w:val="24"/>
          <w:szCs w:val="24"/>
          <w:highlight w:val="none"/>
          <w:lang w:val="en-US" w:eastAsia="zh-CN"/>
        </w:rPr>
        <w:t>2.</w:t>
      </w:r>
      <w:r>
        <w:rPr>
          <w:rFonts w:hint="eastAsia"/>
          <w:b w:val="0"/>
          <w:bCs w:val="0"/>
          <w:sz w:val="24"/>
          <w:szCs w:val="24"/>
          <w:highlight w:val="none"/>
          <w:lang w:val="en-US" w:eastAsia="zh-CN"/>
        </w:rPr>
        <w:t>2 A-MPR requirements for n255</w:t>
      </w:r>
    </w:p>
    <w:p>
      <w:pPr>
        <w:pStyle w:val="32"/>
        <w:ind w:left="0" w:leftChars="0" w:firstLine="0" w:firstLineChars="0"/>
        <w:rPr>
          <w:rFonts w:hint="default"/>
          <w:b w:val="0"/>
          <w:bCs w:val="0"/>
          <w:sz w:val="24"/>
          <w:szCs w:val="24"/>
          <w:highlight w:val="none"/>
          <w:lang w:val="en-US" w:eastAsia="zh-CN"/>
        </w:rPr>
      </w:pPr>
      <w:r>
        <w:rPr>
          <w:rFonts w:hint="eastAsia"/>
          <w:b w:val="0"/>
          <w:bCs w:val="0"/>
          <w:lang w:val="en-US" w:eastAsia="zh-CN"/>
        </w:rPr>
        <w:t>In the last RAN4 meeting, NS_57 for n255 was agreed and captured in TS 38.101-5 spec, however whether the additional A-MPR requirement needed or not is still unknown. In the following section, we provide some initial comparison between carrier SEM located at the low edge of band n255 and NS_57 without considering front-end filtering as shown in the following figure 5.</w:t>
      </w:r>
    </w:p>
    <w:p>
      <w:pPr>
        <w:pStyle w:val="32"/>
        <w:numPr>
          <w:ilvl w:val="0"/>
          <w:numId w:val="4"/>
        </w:numPr>
        <w:rPr>
          <w:rFonts w:ascii="Calibri" w:hAnsi="Calibri" w:eastAsia="宋体" w:cs="Calibri"/>
          <w:color w:val="1F497D"/>
          <w:sz w:val="17"/>
          <w:szCs w:val="17"/>
          <w:shd w:val="clear" w:color="auto" w:fill="FFFFFF"/>
          <w:lang w:eastAsia="zh-CN"/>
        </w:rPr>
      </w:pPr>
      <w:r>
        <w:rPr>
          <w:rFonts w:hint="eastAsia" w:ascii="Calibri" w:hAnsi="Calibri" w:eastAsia="宋体" w:cs="Calibri"/>
          <w:color w:val="1F497D"/>
          <w:sz w:val="17"/>
          <w:szCs w:val="17"/>
          <w:shd w:val="clear" w:color="auto" w:fill="FFFFFF"/>
          <w:lang w:eastAsia="zh-CN"/>
        </w:rPr>
        <w:t>Including</w:t>
      </w:r>
      <w:r>
        <w:rPr>
          <w:rFonts w:ascii="Calibri" w:hAnsi="Calibri" w:eastAsia="宋体" w:cs="Calibri"/>
          <w:color w:val="1F497D"/>
          <w:sz w:val="17"/>
          <w:szCs w:val="17"/>
          <w:shd w:val="clear" w:color="auto" w:fill="FFFFFF"/>
          <w:lang w:eastAsia="zh-CN"/>
        </w:rPr>
        <w:t xml:space="preserve"> </w:t>
      </w:r>
      <w:r>
        <w:rPr>
          <w:rFonts w:hint="eastAsia" w:ascii="Calibri" w:hAnsi="Calibri" w:eastAsia="宋体" w:cs="Calibri"/>
          <w:color w:val="1F497D"/>
          <w:sz w:val="17"/>
          <w:szCs w:val="17"/>
          <w:shd w:val="clear" w:color="auto" w:fill="FFFFFF"/>
          <w:lang w:eastAsia="zh-CN"/>
        </w:rPr>
        <w:t>New</w:t>
      </w:r>
      <w:r>
        <w:rPr>
          <w:rFonts w:ascii="Calibri" w:hAnsi="Calibri" w:eastAsia="宋体" w:cs="Calibri"/>
          <w:color w:val="1F497D"/>
          <w:sz w:val="17"/>
          <w:szCs w:val="17"/>
          <w:shd w:val="clear" w:color="auto" w:fill="FFFFFF"/>
          <w:lang w:eastAsia="zh-CN"/>
        </w:rPr>
        <w:t xml:space="preserve"> </w:t>
      </w:r>
      <w:r>
        <w:rPr>
          <w:rFonts w:hint="eastAsia" w:ascii="Calibri" w:hAnsi="Calibri" w:eastAsia="宋体" w:cs="Calibri"/>
          <w:color w:val="1F497D"/>
          <w:sz w:val="17"/>
          <w:szCs w:val="17"/>
          <w:shd w:val="clear" w:color="auto" w:fill="FFFFFF"/>
          <w:lang w:eastAsia="zh-CN"/>
        </w:rPr>
        <w:t>NS</w:t>
      </w:r>
      <w:r>
        <w:rPr>
          <w:rFonts w:ascii="Calibri" w:hAnsi="Calibri" w:eastAsia="宋体" w:cs="Calibri"/>
          <w:color w:val="1F497D"/>
          <w:sz w:val="17"/>
          <w:szCs w:val="17"/>
          <w:shd w:val="clear" w:color="auto" w:fill="FFFFFF"/>
          <w:lang w:eastAsia="zh-CN"/>
        </w:rPr>
        <w:t xml:space="preserve"> </w:t>
      </w:r>
      <w:r>
        <w:rPr>
          <w:rFonts w:hint="eastAsia" w:ascii="Calibri" w:hAnsi="Calibri" w:eastAsia="宋体" w:cs="Calibri"/>
          <w:color w:val="1F497D"/>
          <w:sz w:val="17"/>
          <w:szCs w:val="17"/>
          <w:shd w:val="clear" w:color="auto" w:fill="FFFFFF"/>
          <w:lang w:eastAsia="zh-CN"/>
        </w:rPr>
        <w:t xml:space="preserve">value </w:t>
      </w:r>
      <w:r>
        <w:rPr>
          <w:rFonts w:ascii="Calibri" w:hAnsi="Calibri" w:eastAsia="宋体" w:cs="Calibri"/>
          <w:color w:val="1F497D"/>
          <w:sz w:val="17"/>
          <w:szCs w:val="17"/>
          <w:shd w:val="clear" w:color="auto" w:fill="FFFFFF"/>
          <w:lang w:eastAsia="zh-CN"/>
        </w:rPr>
        <w:t xml:space="preserve">NS_57 </w:t>
      </w:r>
      <w:r>
        <w:rPr>
          <w:rFonts w:hint="eastAsia" w:ascii="Calibri" w:hAnsi="Calibri" w:eastAsia="宋体" w:cs="Calibri"/>
          <w:color w:val="1F497D"/>
          <w:sz w:val="17"/>
          <w:szCs w:val="17"/>
          <w:shd w:val="clear" w:color="auto" w:fill="FFFFFF"/>
          <w:lang w:eastAsia="zh-CN"/>
        </w:rPr>
        <w:t>with</w:t>
      </w:r>
      <w:r>
        <w:rPr>
          <w:rFonts w:ascii="Calibri" w:hAnsi="Calibri" w:eastAsia="宋体" w:cs="Calibri"/>
          <w:color w:val="1F497D"/>
          <w:sz w:val="17"/>
          <w:szCs w:val="17"/>
          <w:shd w:val="clear" w:color="auto" w:fill="FFFFFF"/>
          <w:lang w:eastAsia="zh-CN"/>
        </w:rPr>
        <w:t xml:space="preserve"> additional </w:t>
      </w:r>
      <w:r>
        <w:rPr>
          <w:rFonts w:hint="eastAsia" w:ascii="Calibri" w:hAnsi="Calibri" w:eastAsia="宋体" w:cs="Calibri"/>
          <w:color w:val="1F497D"/>
          <w:sz w:val="17"/>
          <w:szCs w:val="17"/>
          <w:shd w:val="clear" w:color="auto" w:fill="FFFFFF"/>
          <w:lang w:eastAsia="zh-CN"/>
        </w:rPr>
        <w:t>spurious</w:t>
      </w:r>
      <w:r>
        <w:rPr>
          <w:rFonts w:ascii="Calibri" w:hAnsi="Calibri" w:eastAsia="宋体" w:cs="Calibri"/>
          <w:color w:val="1F497D"/>
          <w:sz w:val="17"/>
          <w:szCs w:val="17"/>
          <w:shd w:val="clear" w:color="auto" w:fill="FFFFFF"/>
          <w:lang w:eastAsia="zh-CN"/>
        </w:rPr>
        <w:t xml:space="preserve"> </w:t>
      </w:r>
      <w:r>
        <w:rPr>
          <w:rFonts w:hint="eastAsia" w:ascii="Calibri" w:hAnsi="Calibri" w:eastAsia="宋体" w:cs="Calibri"/>
          <w:color w:val="1F497D"/>
          <w:sz w:val="17"/>
          <w:szCs w:val="17"/>
          <w:shd w:val="clear" w:color="auto" w:fill="FFFFFF"/>
          <w:lang w:eastAsia="zh-CN"/>
        </w:rPr>
        <w:t>emission</w:t>
      </w:r>
      <w:r>
        <w:rPr>
          <w:rFonts w:ascii="Calibri" w:hAnsi="Calibri" w:eastAsia="宋体" w:cs="Calibri"/>
          <w:color w:val="1F497D"/>
          <w:sz w:val="17"/>
          <w:szCs w:val="17"/>
          <w:shd w:val="clear" w:color="auto" w:fill="FFFFFF"/>
          <w:lang w:eastAsia="zh-CN"/>
        </w:rPr>
        <w:t xml:space="preserve"> into TP</w:t>
      </w:r>
      <w:r>
        <w:rPr>
          <w:rFonts w:hint="eastAsia" w:ascii="Calibri" w:hAnsi="Calibri" w:eastAsia="宋体" w:cs="Calibri"/>
          <w:color w:val="1F497D"/>
          <w:sz w:val="17"/>
          <w:szCs w:val="17"/>
          <w:shd w:val="clear" w:color="auto" w:fill="FFFFFF"/>
          <w:lang w:eastAsia="zh-CN"/>
        </w:rPr>
        <w:t xml:space="preserve"> with</w:t>
      </w:r>
      <w:r>
        <w:rPr>
          <w:rFonts w:ascii="Calibri" w:hAnsi="Calibri" w:eastAsia="宋体" w:cs="Calibri"/>
          <w:color w:val="1F497D"/>
          <w:sz w:val="17"/>
          <w:szCs w:val="17"/>
          <w:shd w:val="clear" w:color="auto" w:fill="FFFFFF"/>
          <w:lang w:eastAsia="zh-CN"/>
        </w:rPr>
        <w:t xml:space="preserve"> A-MPR as TBD</w:t>
      </w:r>
    </w:p>
    <w:p>
      <w:pPr>
        <w:pStyle w:val="32"/>
        <w:numPr>
          <w:ilvl w:val="0"/>
          <w:numId w:val="0"/>
        </w:numPr>
        <w:ind w:leftChars="200" w:firstLine="850" w:firstLineChars="500"/>
        <w:rPr>
          <w:rFonts w:ascii="Calibri" w:hAnsi="Calibri" w:eastAsia="宋体" w:cs="Calibri"/>
          <w:color w:val="1F497D"/>
          <w:sz w:val="17"/>
          <w:szCs w:val="17"/>
          <w:shd w:val="clear" w:color="auto" w:fill="FFFFFF"/>
          <w:lang w:eastAsia="zh-CN"/>
        </w:rPr>
      </w:pPr>
      <w:r>
        <w:rPr>
          <w:rFonts w:ascii="Calibri" w:hAnsi="Calibri" w:eastAsia="宋体" w:cs="Calibri"/>
          <w:color w:val="1F497D"/>
          <w:sz w:val="17"/>
          <w:szCs w:val="17"/>
          <w:shd w:val="clear" w:color="auto" w:fill="FFFFFF"/>
          <w:lang w:eastAsia="zh-CN"/>
        </w:rPr>
        <w:t xml:space="preserve">RAN4 will further evaluate and conclude A-MPR for this additional spurious emission. </w:t>
      </w:r>
    </w:p>
    <w:p>
      <w:pPr>
        <w:pStyle w:val="32"/>
        <w:ind w:left="0" w:leftChars="0" w:firstLine="0" w:firstLineChars="0"/>
        <w:jc w:val="left"/>
        <w:rPr>
          <w:rFonts w:hint="eastAsia"/>
          <w:lang w:val="en-US" w:eastAsia="zh-CN"/>
        </w:rPr>
      </w:pPr>
    </w:p>
    <w:p>
      <w:pPr>
        <w:pStyle w:val="32"/>
        <w:ind w:left="0" w:leftChars="0" w:firstLine="0" w:firstLineChars="0"/>
        <w:jc w:val="center"/>
      </w:pPr>
      <w:r>
        <w:drawing>
          <wp:inline distT="0" distB="0" distL="114300" distR="114300">
            <wp:extent cx="4869180" cy="86868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4869180" cy="868680"/>
                    </a:xfrm>
                    <a:prstGeom prst="rect">
                      <a:avLst/>
                    </a:prstGeom>
                    <a:noFill/>
                    <a:ln>
                      <a:noFill/>
                    </a:ln>
                  </pic:spPr>
                </pic:pic>
              </a:graphicData>
            </a:graphic>
          </wp:inline>
        </w:drawing>
      </w:r>
    </w:p>
    <w:p>
      <w:pPr>
        <w:pStyle w:val="32"/>
        <w:ind w:left="0" w:leftChars="0" w:firstLine="0" w:firstLineChars="0"/>
        <w:jc w:val="center"/>
        <w:rPr>
          <w:rFonts w:hint="eastAsia"/>
          <w:lang w:val="en-US" w:eastAsia="zh-CN"/>
        </w:rPr>
      </w:pPr>
      <w:r>
        <w:rPr>
          <w:rFonts w:hint="eastAsia"/>
          <w:b/>
          <w:bCs/>
          <w:lang w:val="en-US" w:eastAsia="zh-CN"/>
        </w:rPr>
        <w:t>Figure 5.</w:t>
      </w:r>
      <w:r>
        <w:rPr>
          <w:rFonts w:hint="eastAsia"/>
          <w:lang w:val="en-US" w:eastAsia="zh-CN"/>
        </w:rPr>
        <w:t xml:space="preserve"> the required NTN and TN coexistence scenario from downlink perspective</w:t>
      </w:r>
    </w:p>
    <w:p>
      <w:pPr>
        <w:pStyle w:val="43"/>
        <w:rPr>
          <w:rFonts w:hint="default" w:eastAsia="宋体"/>
          <w:lang w:val="en-US" w:eastAsia="zh-CN"/>
        </w:rPr>
      </w:pPr>
      <w:r>
        <w:t xml:space="preserve">Table 6.5.3.3.1-1: Additional requirements for </w:t>
      </w:r>
      <w:r>
        <w:rPr>
          <w:rFonts w:eastAsia="Yu Mincho"/>
        </w:rPr>
        <w:t>"</w:t>
      </w:r>
      <w:r>
        <w:t>NS_</w:t>
      </w:r>
      <w:r>
        <w:rPr>
          <w:lang w:val="en-US"/>
        </w:rPr>
        <w:t>57</w:t>
      </w:r>
      <w:r>
        <w:rPr>
          <w:rFonts w:eastAsia="Yu Mincho"/>
        </w:rPr>
        <w:t>"</w:t>
      </w:r>
      <w:r>
        <w:rPr>
          <w:rFonts w:hint="eastAsia" w:eastAsia="宋体"/>
          <w:lang w:val="en-US" w:eastAsia="zh-CN"/>
        </w:rPr>
        <w:t xml:space="preserve"> [extracted from TS 38.101-5]</w:t>
      </w:r>
    </w:p>
    <w:tbl>
      <w:tblPr>
        <w:tblStyle w:val="22"/>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848" w:type="dxa"/>
            <w:vMerge w:val="restart"/>
          </w:tcPr>
          <w:p>
            <w:pPr>
              <w:pStyle w:val="33"/>
              <w:rPr>
                <w:rFonts w:cs="Arial"/>
                <w:bCs/>
              </w:rPr>
            </w:pPr>
            <w:r>
              <w:rPr>
                <w:rFonts w:cs="Arial"/>
                <w:bCs/>
              </w:rPr>
              <w:t>Frequency band</w:t>
            </w:r>
          </w:p>
          <w:p>
            <w:pPr>
              <w:pStyle w:val="33"/>
              <w:rPr>
                <w:rFonts w:cs="Arial"/>
                <w:bCs/>
              </w:rPr>
            </w:pPr>
            <w:r>
              <w:rPr>
                <w:rFonts w:cs="Arial"/>
                <w:bCs/>
              </w:rPr>
              <w:t>(MHz)</w:t>
            </w:r>
          </w:p>
        </w:tc>
        <w:tc>
          <w:tcPr>
            <w:tcW w:w="2065" w:type="dxa"/>
          </w:tcPr>
          <w:p>
            <w:pPr>
              <w:pStyle w:val="33"/>
              <w:rPr>
                <w:rFonts w:cs="Arial"/>
                <w:bCs/>
              </w:rPr>
            </w:pPr>
            <w:r>
              <w:rPr>
                <w:rFonts w:cs="Arial"/>
                <w:bCs/>
              </w:rPr>
              <w:t>Channel bandwidth / Spectrum emission limit</w:t>
            </w:r>
            <w:r>
              <w:rPr>
                <w:rFonts w:cs="Arial"/>
                <w:bCs/>
                <w:vertAlign w:val="superscript"/>
              </w:rPr>
              <w:t>1</w:t>
            </w:r>
            <w:r>
              <w:rPr>
                <w:rFonts w:cs="Arial"/>
                <w:bCs/>
              </w:rPr>
              <w:t xml:space="preserve"> </w:t>
            </w:r>
            <w:r>
              <w:rPr>
                <w:rFonts w:cs="Arial"/>
                <w:bCs/>
                <w:highlight w:val="red"/>
              </w:rPr>
              <w:t>(dB</w:t>
            </w:r>
            <w:r>
              <w:rPr>
                <w:rFonts w:cs="Arial"/>
                <w:bCs/>
                <w:highlight w:val="red"/>
                <w:lang w:val="en-US"/>
              </w:rPr>
              <w:t>W</w:t>
            </w:r>
            <w:r>
              <w:rPr>
                <w:rFonts w:cs="Arial"/>
                <w:bCs/>
                <w:highlight w:val="red"/>
              </w:rPr>
              <w:t>)</w:t>
            </w:r>
          </w:p>
        </w:tc>
        <w:tc>
          <w:tcPr>
            <w:tcW w:w="1377" w:type="dxa"/>
            <w:vMerge w:val="restart"/>
          </w:tcPr>
          <w:p>
            <w:pPr>
              <w:pStyle w:val="33"/>
              <w:rPr>
                <w:rFonts w:cs="Arial"/>
                <w:bCs/>
              </w:rPr>
            </w:pPr>
            <w:r>
              <w:rPr>
                <w:rFonts w:cs="Arial"/>
                <w:bCs/>
              </w:rPr>
              <w:t xml:space="preserve">Measurement bandwidth </w:t>
            </w:r>
          </w:p>
        </w:tc>
        <w:tc>
          <w:tcPr>
            <w:tcW w:w="2222" w:type="dxa"/>
            <w:vMerge w:val="restart"/>
          </w:tcPr>
          <w:p>
            <w:pPr>
              <w:pStyle w:val="33"/>
              <w:rPr>
                <w:rFonts w:cs="Arial"/>
                <w:bCs/>
              </w:rPr>
            </w:pPr>
            <w:r>
              <w:rPr>
                <w:rFonts w:cs="Arial"/>
                <w:bC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848" w:type="dxa"/>
            <w:vMerge w:val="continue"/>
          </w:tcPr>
          <w:p>
            <w:pPr>
              <w:pStyle w:val="33"/>
              <w:rPr>
                <w:rFonts w:cs="Arial"/>
                <w:b w:val="0"/>
              </w:rPr>
            </w:pPr>
          </w:p>
        </w:tc>
        <w:tc>
          <w:tcPr>
            <w:tcW w:w="2065" w:type="dxa"/>
          </w:tcPr>
          <w:p>
            <w:pPr>
              <w:pStyle w:val="33"/>
              <w:rPr>
                <w:rFonts w:cs="Arial"/>
                <w:b w:val="0"/>
                <w:lang w:val="en-US"/>
              </w:rPr>
            </w:pPr>
            <w:r>
              <w:rPr>
                <w:rFonts w:cs="Arial"/>
                <w:b w:val="0"/>
              </w:rPr>
              <w:t>5 MHz, 10</w:t>
            </w:r>
            <w:r>
              <w:rPr>
                <w:rFonts w:cs="Arial"/>
                <w:b w:val="0"/>
                <w:lang w:val="en-US"/>
              </w:rPr>
              <w:t xml:space="preserve"> </w:t>
            </w:r>
            <w:r>
              <w:rPr>
                <w:rFonts w:cs="Arial"/>
                <w:b w:val="0"/>
              </w:rPr>
              <w:t>MHz</w:t>
            </w:r>
            <w:r>
              <w:rPr>
                <w:rFonts w:cs="Arial"/>
                <w:b w:val="0"/>
                <w:lang w:val="en-US"/>
              </w:rPr>
              <w:t>, 15 MHz, 20 MHz</w:t>
            </w:r>
          </w:p>
        </w:tc>
        <w:tc>
          <w:tcPr>
            <w:tcW w:w="1377" w:type="dxa"/>
            <w:vMerge w:val="continue"/>
          </w:tcPr>
          <w:p>
            <w:pPr>
              <w:pStyle w:val="91"/>
              <w:ind w:left="800"/>
              <w:rPr>
                <w:rFonts w:ascii="Arial" w:hAnsi="Arial" w:eastAsia="Times New Roman" w:cs="Arial"/>
                <w:sz w:val="18"/>
                <w:szCs w:val="18"/>
              </w:rPr>
            </w:pPr>
          </w:p>
        </w:tc>
        <w:tc>
          <w:tcPr>
            <w:tcW w:w="2222" w:type="dxa"/>
            <w:vMerge w:val="continue"/>
            <w:tcBorders>
              <w:bottom w:val="single" w:color="auto" w:sz="4" w:space="0"/>
            </w:tcBorders>
          </w:tcPr>
          <w:p>
            <w:pPr>
              <w:pStyle w:val="91"/>
              <w:ind w:left="800"/>
              <w:rPr>
                <w:rFonts w:ascii="Arial" w:hAnsi="Arial" w:eastAsia="Times New Roman"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34"/>
              <w:rPr>
                <w:rFonts w:cs="Arial"/>
                <w:color w:val="0000FF"/>
                <w:szCs w:val="18"/>
                <w:lang w:val="en-US"/>
              </w:rPr>
            </w:pPr>
            <w:r>
              <w:rPr>
                <w:rFonts w:cs="Arial"/>
                <w:color w:val="0000FF"/>
                <w:szCs w:val="18"/>
              </w:rPr>
              <w:t>15</w:t>
            </w:r>
            <w:r>
              <w:rPr>
                <w:rFonts w:cs="Arial"/>
                <w:color w:val="0000FF"/>
                <w:szCs w:val="18"/>
                <w:lang w:val="en-US"/>
              </w:rPr>
              <w:t>59</w:t>
            </w:r>
            <w:r>
              <w:rPr>
                <w:rFonts w:cs="Arial"/>
                <w:color w:val="0000FF"/>
                <w:szCs w:val="18"/>
              </w:rPr>
              <w:t>≤ f ≤ 16</w:t>
            </w:r>
            <w:r>
              <w:rPr>
                <w:rFonts w:cs="Arial"/>
                <w:color w:val="0000FF"/>
                <w:szCs w:val="18"/>
                <w:lang w:val="en-US"/>
              </w:rPr>
              <w:t>05</w:t>
            </w:r>
          </w:p>
        </w:tc>
        <w:tc>
          <w:tcPr>
            <w:tcW w:w="2065" w:type="dxa"/>
          </w:tcPr>
          <w:p>
            <w:pPr>
              <w:pStyle w:val="34"/>
              <w:rPr>
                <w:rFonts w:cs="Arial"/>
                <w:color w:val="0000FF"/>
                <w:szCs w:val="18"/>
                <w:lang w:val="en-US"/>
              </w:rPr>
            </w:pPr>
            <w:r>
              <w:rPr>
                <w:rFonts w:cs="Arial"/>
                <w:color w:val="0000FF"/>
                <w:szCs w:val="18"/>
                <w:lang w:val="en-US"/>
              </w:rPr>
              <w:t>-80</w:t>
            </w:r>
          </w:p>
        </w:tc>
        <w:tc>
          <w:tcPr>
            <w:tcW w:w="1377" w:type="dxa"/>
          </w:tcPr>
          <w:p>
            <w:pPr>
              <w:pStyle w:val="34"/>
              <w:rPr>
                <w:rFonts w:cs="Arial"/>
                <w:color w:val="0000FF"/>
                <w:szCs w:val="18"/>
                <w:lang w:val="en-US"/>
              </w:rPr>
            </w:pPr>
            <w:r>
              <w:rPr>
                <w:rFonts w:cs="Arial"/>
                <w:color w:val="0000FF"/>
                <w:szCs w:val="18"/>
                <w:lang w:val="en-US"/>
              </w:rPr>
              <w:t>700 Hz</w:t>
            </w:r>
          </w:p>
        </w:tc>
        <w:tc>
          <w:tcPr>
            <w:tcW w:w="2222" w:type="dxa"/>
            <w:tcBorders>
              <w:bottom w:val="nil"/>
            </w:tcBorders>
            <w:shd w:val="clear" w:color="auto" w:fill="auto"/>
          </w:tcPr>
          <w:p>
            <w:pPr>
              <w:pStyle w:val="34"/>
              <w:rPr>
                <w:rFonts w:cs="Arial"/>
                <w:color w:val="0000FF"/>
                <w:szCs w:val="18"/>
              </w:rPr>
            </w:pPr>
            <w:r>
              <w:rPr>
                <w:rFonts w:cs="Arial"/>
                <w:color w:val="0000FF"/>
                <w:szCs w:val="18"/>
              </w:rP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34"/>
              <w:rPr>
                <w:rFonts w:cs="Arial"/>
                <w:color w:val="0000FF"/>
                <w:szCs w:val="18"/>
                <w:lang w:val="en-US"/>
              </w:rPr>
            </w:pPr>
            <w:r>
              <w:rPr>
                <w:rFonts w:cs="Arial"/>
                <w:color w:val="0000FF"/>
                <w:szCs w:val="18"/>
              </w:rPr>
              <w:t>1</w:t>
            </w:r>
            <w:r>
              <w:rPr>
                <w:rFonts w:cs="Arial"/>
                <w:color w:val="0000FF"/>
                <w:szCs w:val="18"/>
                <w:lang w:val="en-US"/>
              </w:rPr>
              <w:t>605</w:t>
            </w:r>
            <w:r>
              <w:rPr>
                <w:rFonts w:cs="Arial"/>
                <w:color w:val="0000FF"/>
                <w:szCs w:val="18"/>
              </w:rPr>
              <w:t>≤ f ≤ 1610</w:t>
            </w:r>
          </w:p>
        </w:tc>
        <w:tc>
          <w:tcPr>
            <w:tcW w:w="2065" w:type="dxa"/>
          </w:tcPr>
          <w:p>
            <w:pPr>
              <w:pStyle w:val="34"/>
              <w:rPr>
                <w:rFonts w:cs="Arial"/>
                <w:color w:val="0000FF"/>
                <w:szCs w:val="18"/>
                <w:lang w:val="en-US"/>
              </w:rPr>
            </w:pPr>
            <w:r>
              <w:rPr>
                <w:rFonts w:cs="Arial"/>
                <w:color w:val="0000FF"/>
                <w:szCs w:val="18"/>
              </w:rPr>
              <w:t xml:space="preserve">-80 </w:t>
            </w:r>
            <w:r>
              <w:rPr>
                <w:rFonts w:cs="Arial"/>
                <w:color w:val="0000FF"/>
                <w:szCs w:val="18"/>
                <w:lang w:val="en-US"/>
              </w:rPr>
              <w:t>+ 24/5 (f-1605)</w:t>
            </w:r>
          </w:p>
        </w:tc>
        <w:tc>
          <w:tcPr>
            <w:tcW w:w="1377" w:type="dxa"/>
          </w:tcPr>
          <w:p>
            <w:pPr>
              <w:pStyle w:val="34"/>
              <w:rPr>
                <w:rFonts w:cs="Arial"/>
                <w:color w:val="0000FF"/>
                <w:szCs w:val="18"/>
              </w:rPr>
            </w:pPr>
            <w:r>
              <w:rPr>
                <w:rFonts w:cs="Arial"/>
                <w:color w:val="0000FF"/>
                <w:szCs w:val="18"/>
              </w:rPr>
              <w:t>700Hz</w:t>
            </w:r>
          </w:p>
        </w:tc>
        <w:tc>
          <w:tcPr>
            <w:tcW w:w="2222" w:type="dxa"/>
            <w:tcBorders>
              <w:top w:val="nil"/>
              <w:bottom w:val="nil"/>
            </w:tcBorders>
            <w:shd w:val="clear" w:color="auto" w:fill="auto"/>
          </w:tcPr>
          <w:p>
            <w:pPr>
              <w:pStyle w:val="34"/>
              <w:rPr>
                <w:rFonts w:cs="Arial"/>
                <w:color w:val="0000FF"/>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34"/>
              <w:rPr>
                <w:rFonts w:cs="Arial"/>
                <w:color w:val="FF0000"/>
                <w:szCs w:val="18"/>
                <w:lang w:val="en-US"/>
              </w:rPr>
            </w:pPr>
            <w:r>
              <w:rPr>
                <w:rFonts w:cs="Arial"/>
                <w:color w:val="FF0000"/>
                <w:szCs w:val="18"/>
              </w:rPr>
              <w:t>1</w:t>
            </w:r>
            <w:r>
              <w:rPr>
                <w:rFonts w:cs="Arial"/>
                <w:color w:val="FF0000"/>
                <w:szCs w:val="18"/>
                <w:lang w:val="en-US"/>
              </w:rPr>
              <w:t>559</w:t>
            </w:r>
            <w:r>
              <w:rPr>
                <w:rFonts w:cs="Arial"/>
                <w:color w:val="FF0000"/>
                <w:szCs w:val="18"/>
              </w:rPr>
              <w:t xml:space="preserve"> ≤ f ≤ 160</w:t>
            </w:r>
            <w:r>
              <w:rPr>
                <w:rFonts w:cs="Arial"/>
                <w:color w:val="FF0000"/>
                <w:szCs w:val="18"/>
                <w:lang w:val="en-US"/>
              </w:rPr>
              <w:t>5</w:t>
            </w:r>
          </w:p>
        </w:tc>
        <w:tc>
          <w:tcPr>
            <w:tcW w:w="2065" w:type="dxa"/>
          </w:tcPr>
          <w:p>
            <w:pPr>
              <w:pStyle w:val="34"/>
              <w:rPr>
                <w:rFonts w:cs="Arial"/>
                <w:color w:val="FF0000"/>
                <w:szCs w:val="18"/>
                <w:lang w:val="en-US"/>
              </w:rPr>
            </w:pPr>
            <w:r>
              <w:rPr>
                <w:rFonts w:cs="Arial"/>
                <w:color w:val="FF0000"/>
                <w:szCs w:val="18"/>
              </w:rPr>
              <w:t>-70</w:t>
            </w:r>
          </w:p>
        </w:tc>
        <w:tc>
          <w:tcPr>
            <w:tcW w:w="1377" w:type="dxa"/>
          </w:tcPr>
          <w:p>
            <w:pPr>
              <w:pStyle w:val="34"/>
              <w:rPr>
                <w:rFonts w:cs="Arial"/>
                <w:color w:val="FF0000"/>
                <w:szCs w:val="18"/>
              </w:rPr>
            </w:pPr>
            <w:r>
              <w:rPr>
                <w:rFonts w:cs="Arial"/>
                <w:color w:val="FF0000"/>
                <w:szCs w:val="18"/>
              </w:rPr>
              <w:t>1MHz</w:t>
            </w:r>
          </w:p>
        </w:tc>
        <w:tc>
          <w:tcPr>
            <w:tcW w:w="2222" w:type="dxa"/>
            <w:tcBorders>
              <w:bottom w:val="nil"/>
            </w:tcBorders>
            <w:shd w:val="clear" w:color="auto" w:fill="auto"/>
          </w:tcPr>
          <w:p>
            <w:pPr>
              <w:pStyle w:val="34"/>
              <w:rPr>
                <w:rFonts w:cs="Arial"/>
                <w:color w:val="FF0000"/>
                <w:szCs w:val="18"/>
              </w:rPr>
            </w:pPr>
            <w:r>
              <w:rPr>
                <w:rFonts w:cs="Arial"/>
                <w:color w:val="FF0000"/>
                <w:szCs w:val="18"/>
              </w:rP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34"/>
              <w:rPr>
                <w:rFonts w:cs="Arial"/>
                <w:color w:val="FF0000"/>
              </w:rPr>
            </w:pPr>
            <w:r>
              <w:rPr>
                <w:rFonts w:cs="Arial"/>
                <w:color w:val="FF0000"/>
              </w:rPr>
              <w:t>160</w:t>
            </w:r>
            <w:r>
              <w:rPr>
                <w:rFonts w:cs="Arial"/>
                <w:color w:val="FF0000"/>
                <w:lang w:val="en-US"/>
              </w:rPr>
              <w:t>5</w:t>
            </w:r>
            <w:r>
              <w:rPr>
                <w:rFonts w:cs="Arial"/>
                <w:color w:val="FF0000"/>
              </w:rPr>
              <w:t>≤ f ≤ 1610</w:t>
            </w:r>
          </w:p>
        </w:tc>
        <w:tc>
          <w:tcPr>
            <w:tcW w:w="2065" w:type="dxa"/>
          </w:tcPr>
          <w:p>
            <w:pPr>
              <w:pStyle w:val="34"/>
              <w:rPr>
                <w:rFonts w:cs="Arial"/>
                <w:color w:val="FF0000"/>
                <w:lang w:val="en-US"/>
              </w:rPr>
            </w:pPr>
            <w:r>
              <w:rPr>
                <w:rFonts w:cs="Arial"/>
                <w:color w:val="FF0000"/>
              </w:rPr>
              <w:t xml:space="preserve">-70 </w:t>
            </w:r>
            <w:r>
              <w:rPr>
                <w:rFonts w:cs="Arial"/>
                <w:color w:val="FF0000"/>
                <w:lang w:val="en-US"/>
              </w:rPr>
              <w:t>+ 24/5 (f-1605)</w:t>
            </w:r>
          </w:p>
        </w:tc>
        <w:tc>
          <w:tcPr>
            <w:tcW w:w="1377" w:type="dxa"/>
          </w:tcPr>
          <w:p>
            <w:pPr>
              <w:pStyle w:val="34"/>
              <w:rPr>
                <w:rFonts w:cs="Arial"/>
                <w:color w:val="FF0000"/>
              </w:rPr>
            </w:pPr>
            <w:r>
              <w:rPr>
                <w:rFonts w:cs="Arial"/>
                <w:color w:val="FF0000"/>
              </w:rPr>
              <w:t>1MHz</w:t>
            </w:r>
          </w:p>
        </w:tc>
        <w:tc>
          <w:tcPr>
            <w:tcW w:w="2222" w:type="dxa"/>
            <w:tcBorders>
              <w:top w:val="nil"/>
              <w:bottom w:val="nil"/>
            </w:tcBorders>
            <w:shd w:val="clear" w:color="auto" w:fill="auto"/>
          </w:tcPr>
          <w:p>
            <w:pPr>
              <w:pStyle w:val="34"/>
              <w:rPr>
                <w:rFonts w:ascii="Times New Roman" w:hAnsi="Times New Roman"/>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4"/>
          </w:tcPr>
          <w:p>
            <w:pPr>
              <w:pStyle w:val="46"/>
              <w:rPr>
                <w:rFonts w:ascii="Times New Roman" w:hAnsi="Times New Roman"/>
              </w:rPr>
            </w:pPr>
            <w:r>
              <w:rPr>
                <w:rFonts w:cs="Arial"/>
              </w:rPr>
              <w:t>NOTE 1:</w:t>
            </w:r>
            <w:r>
              <w:tab/>
            </w:r>
            <w:r>
              <w:t>The EIRP requirement in regulation is converted to conducted requirement using a 0 dBi antenna.</w:t>
            </w:r>
          </w:p>
        </w:tc>
      </w:tr>
    </w:tbl>
    <w:p>
      <w:pPr>
        <w:pStyle w:val="32"/>
        <w:ind w:left="0" w:leftChars="0" w:firstLine="0" w:firstLineChars="0"/>
        <w:jc w:val="left"/>
        <w:rPr>
          <w:rFonts w:hint="default"/>
          <w:lang w:val="en-US" w:eastAsia="zh-CN"/>
        </w:rPr>
      </w:pPr>
    </w:p>
    <w:tbl>
      <w:tblPr>
        <w:tblStyle w:val="2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814"/>
        <w:gridCol w:w="1730"/>
        <w:gridCol w:w="1730"/>
        <w:gridCol w:w="1730"/>
        <w:gridCol w:w="1731"/>
        <w:gridCol w:w="10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7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3"/>
              <w:jc w:val="left"/>
              <w:rPr>
                <w:rFonts w:hint="default" w:cs="Arial"/>
                <w:bCs/>
                <w:lang w:val="en-US"/>
              </w:rPr>
            </w:pPr>
            <w:r>
              <w:rPr>
                <w:rFonts w:hint="eastAsia" w:cs="Arial"/>
                <w:bCs/>
                <w:lang w:val="en-US" w:eastAsia="zh-CN"/>
              </w:rPr>
              <w:t>SEM Offset in MHz</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0-1</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1-5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5-20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20-25</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default" w:ascii="Arial" w:hAnsi="Arial" w:eastAsia="Times New Roman" w:cs="Arial"/>
                <w:b/>
                <w:bCs/>
                <w:kern w:val="0"/>
                <w:sz w:val="18"/>
                <w:szCs w:val="20"/>
                <w:lang w:val="en-US" w:eastAsia="zh-CN" w:bidi="ar-SA"/>
              </w:rPr>
            </w:pPr>
            <w:r>
              <w:rPr>
                <w:rFonts w:hint="eastAsia" w:ascii="Arial" w:hAnsi="Arial" w:eastAsia="Times New Roman" w:cs="Arial"/>
                <w:b/>
                <w:bCs/>
                <w:kern w:val="0"/>
                <w:sz w:val="18"/>
                <w:szCs w:val="20"/>
                <w:lang w:val="en-US" w:eastAsia="zh-CN" w:bidi="ar-SA"/>
              </w:rPr>
              <w:t>Spurious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7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3"/>
              <w:jc w:val="left"/>
              <w:rPr>
                <w:rFonts w:hint="eastAsia" w:cs="Arial"/>
                <w:bCs/>
              </w:rPr>
            </w:pPr>
            <w:r>
              <w:rPr>
                <w:rFonts w:hint="eastAsia" w:cs="Arial"/>
                <w:bCs/>
                <w:lang w:val="en-US" w:eastAsia="zh-CN"/>
              </w:rPr>
              <w:t>Absolute freq in MHz</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1626.5-1625.5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1625.5-1621.5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rPr>
            </w:pPr>
            <w:r>
              <w:rPr>
                <w:rFonts w:hint="default" w:ascii="Arial" w:hAnsi="Arial" w:eastAsia="等线" w:cs="Arial"/>
                <w:i w:val="0"/>
                <w:color w:val="000000"/>
                <w:kern w:val="0"/>
                <w:sz w:val="22"/>
                <w:szCs w:val="22"/>
                <w:u w:val="none"/>
                <w:lang w:val="en-US" w:eastAsia="zh-CN" w:bidi="ar"/>
              </w:rPr>
              <w:t>1621.5-1606.5</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kern w:val="0"/>
                <w:sz w:val="22"/>
                <w:szCs w:val="22"/>
                <w:u w:val="none"/>
                <w:lang w:val="en-US" w:eastAsia="zh-CN" w:bidi="ar"/>
              </w:rPr>
            </w:pPr>
            <w:r>
              <w:rPr>
                <w:rFonts w:hint="default" w:ascii="Arial" w:hAnsi="Arial" w:eastAsia="等线" w:cs="Arial"/>
                <w:i w:val="0"/>
                <w:color w:val="000000"/>
                <w:kern w:val="0"/>
                <w:sz w:val="22"/>
                <w:szCs w:val="22"/>
                <w:u w:val="none"/>
                <w:lang w:val="en-US" w:eastAsia="zh-CN" w:bidi="ar"/>
              </w:rPr>
              <w:t>1606.5-1601.5</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&lt;1601.5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7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3"/>
              <w:jc w:val="left"/>
              <w:rPr>
                <w:rFonts w:hint="default" w:cs="Arial"/>
                <w:bCs/>
                <w:lang w:val="en-US"/>
              </w:rPr>
            </w:pPr>
            <w:r>
              <w:rPr>
                <w:rFonts w:hint="eastAsia" w:cs="Arial"/>
                <w:bCs/>
                <w:lang w:val="en-US" w:eastAsia="zh-CN"/>
              </w:rPr>
              <w:t>SEM in dBm</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-13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lang w:val="en-US" w:eastAsia="zh-CN"/>
              </w:rPr>
            </w:pPr>
            <w:r>
              <w:rPr>
                <w:rFonts w:hint="default" w:ascii="Arial" w:hAnsi="Arial" w:eastAsia="等线" w:cs="Arial"/>
                <w:i w:val="0"/>
                <w:color w:val="000000"/>
                <w:sz w:val="22"/>
                <w:szCs w:val="22"/>
                <w:u w:val="none"/>
                <w:lang w:val="en-US" w:eastAsia="zh-CN"/>
              </w:rPr>
              <w:t>-10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default" w:ascii="Arial" w:hAnsi="Arial" w:eastAsia="等线" w:cs="Arial"/>
                <w:i w:val="0"/>
                <w:color w:val="000000"/>
                <w:sz w:val="22"/>
                <w:szCs w:val="22"/>
                <w:u w:val="none"/>
                <w:lang w:val="en-US" w:eastAsia="zh-CN"/>
              </w:rPr>
            </w:pPr>
            <w:r>
              <w:rPr>
                <w:rFonts w:hint="default" w:ascii="Arial" w:hAnsi="Arial" w:eastAsia="等线" w:cs="Arial"/>
                <w:i w:val="0"/>
                <w:color w:val="000000"/>
                <w:sz w:val="22"/>
                <w:szCs w:val="22"/>
                <w:highlight w:val="cyan"/>
                <w:u w:val="none"/>
                <w:lang w:val="en-US" w:eastAsia="zh-CN"/>
              </w:rPr>
              <w:t>-13</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kern w:val="0"/>
                <w:sz w:val="22"/>
                <w:szCs w:val="22"/>
                <w:highlight w:val="yellow"/>
                <w:u w:val="none"/>
                <w:lang w:val="en-US" w:eastAsia="zh-CN" w:bidi="ar"/>
              </w:rPr>
            </w:pPr>
            <w:r>
              <w:rPr>
                <w:rFonts w:hint="default" w:ascii="Arial" w:hAnsi="Arial" w:eastAsia="等线" w:cs="Arial"/>
                <w:i w:val="0"/>
                <w:color w:val="000000"/>
                <w:kern w:val="0"/>
                <w:sz w:val="22"/>
                <w:szCs w:val="22"/>
                <w:highlight w:val="yellow"/>
                <w:u w:val="none"/>
                <w:lang w:val="en-US" w:eastAsia="zh-CN" w:bidi="ar"/>
              </w:rPr>
              <w:t>-25</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highlight w:val="yellow"/>
                <w:u w:val="none"/>
              </w:rPr>
            </w:pPr>
            <w:r>
              <w:rPr>
                <w:rFonts w:hint="default" w:ascii="Arial" w:hAnsi="Arial" w:eastAsia="等线" w:cs="Arial"/>
                <w:i w:val="0"/>
                <w:color w:val="000000"/>
                <w:kern w:val="0"/>
                <w:sz w:val="22"/>
                <w:szCs w:val="22"/>
                <w:highlight w:val="yellow"/>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7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3"/>
              <w:jc w:val="left"/>
              <w:rPr>
                <w:rFonts w:hint="eastAsia" w:cs="Arial"/>
                <w:bCs/>
              </w:rPr>
            </w:pPr>
            <w:r>
              <w:rPr>
                <w:rFonts w:hint="eastAsia" w:cs="Arial"/>
                <w:bCs/>
                <w:lang w:val="en-US" w:eastAsia="zh-CN"/>
              </w:rPr>
              <w:t>MBW in kHz</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200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lang w:val="en-US" w:eastAsia="zh-CN"/>
              </w:rPr>
            </w:pPr>
            <w:r>
              <w:rPr>
                <w:rFonts w:hint="default" w:ascii="Arial" w:hAnsi="Arial" w:eastAsia="等线" w:cs="Arial"/>
                <w:i w:val="0"/>
                <w:color w:val="000000"/>
                <w:sz w:val="22"/>
                <w:szCs w:val="22"/>
                <w:u w:val="none"/>
                <w:lang w:val="en-US" w:eastAsia="zh-CN"/>
              </w:rPr>
              <w:t>1000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1000</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kern w:val="0"/>
                <w:sz w:val="22"/>
                <w:szCs w:val="22"/>
                <w:u w:val="none"/>
                <w:lang w:val="en-US" w:eastAsia="zh-CN" w:bidi="ar"/>
              </w:rPr>
            </w:pPr>
            <w:r>
              <w:rPr>
                <w:rFonts w:hint="default" w:ascii="Arial" w:hAnsi="Arial" w:eastAsia="等线" w:cs="Arial"/>
                <w:i w:val="0"/>
                <w:color w:val="000000"/>
                <w:kern w:val="0"/>
                <w:sz w:val="22"/>
                <w:szCs w:val="22"/>
                <w:u w:val="none"/>
                <w:lang w:val="en-US" w:eastAsia="zh-CN" w:bidi="ar"/>
              </w:rPr>
              <w:t>1000</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1000</w:t>
            </w:r>
          </w:p>
        </w:tc>
      </w:tr>
    </w:tbl>
    <w:p>
      <w:pPr>
        <w:pStyle w:val="32"/>
        <w:ind w:left="0" w:leftChars="0" w:firstLine="0" w:firstLineChars="0"/>
        <w:jc w:val="left"/>
        <w:rPr>
          <w:rFonts w:hint="default"/>
          <w:lang w:val="en-US" w:eastAsia="zh-CN"/>
        </w:rPr>
      </w:pPr>
    </w:p>
    <w:tbl>
      <w:tblPr>
        <w:tblStyle w:val="22"/>
        <w:tblW w:w="675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855"/>
        <w:gridCol w:w="1392"/>
        <w:gridCol w:w="1392"/>
        <w:gridCol w:w="21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jc w:val="center"/>
        </w:trPr>
        <w:tc>
          <w:tcPr>
            <w:tcW w:w="185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eastAsia" w:ascii="等线" w:hAnsi="等线" w:eastAsia="等线" w:cs="等线"/>
                <w:i w:val="0"/>
                <w:color w:val="000000"/>
                <w:sz w:val="22"/>
                <w:szCs w:val="22"/>
                <w:u w:val="none"/>
              </w:rPr>
            </w:pPr>
            <w:r>
              <w:rPr>
                <w:rFonts w:hint="eastAsia" w:ascii="Arial" w:hAnsi="Arial" w:eastAsia="Times New Roman" w:cs="Arial"/>
                <w:b/>
                <w:bCs/>
                <w:kern w:val="0"/>
                <w:sz w:val="18"/>
                <w:szCs w:val="20"/>
                <w:lang w:val="en-US" w:eastAsia="zh-CN" w:bidi="ar-SA"/>
              </w:rPr>
              <w:t>Absolute freq in MHz</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3"/>
              <w:rPr>
                <w:rFonts w:hint="default" w:cs="Arial"/>
                <w:bCs/>
                <w:lang w:val="en-US" w:eastAsia="zh-CN"/>
              </w:rPr>
            </w:pPr>
            <w:r>
              <w:rPr>
                <w:rFonts w:hint="eastAsia" w:cs="Arial"/>
                <w:bCs/>
                <w:lang w:val="en-US" w:eastAsia="zh-CN"/>
              </w:rPr>
              <w:t>1559-1605</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3"/>
              <w:rPr>
                <w:rFonts w:hint="default" w:cs="Arial"/>
                <w:bCs/>
                <w:lang w:val="en-US" w:eastAsia="zh-CN"/>
              </w:rPr>
            </w:pPr>
            <w:r>
              <w:rPr>
                <w:rFonts w:hint="eastAsia" w:cs="Arial"/>
                <w:bCs/>
                <w:lang w:val="en-US" w:eastAsia="zh-CN"/>
              </w:rPr>
              <w:t>1605-1610</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3"/>
              <w:rPr>
                <w:rFonts w:hint="default" w:cs="Arial"/>
                <w:bCs/>
                <w:lang w:val="en-US" w:eastAsia="zh-CN"/>
              </w:rPr>
            </w:pPr>
            <w:r>
              <w:rPr>
                <w:rFonts w:hint="eastAsia" w:cs="Arial"/>
                <w:bCs/>
                <w:lang w:val="en-US" w:eastAsia="zh-CN"/>
              </w:rPr>
              <w:t>Note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185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3"/>
              <w:jc w:val="left"/>
              <w:rPr>
                <w:rFonts w:hint="default" w:cs="Arial"/>
                <w:bCs/>
                <w:color w:val="0000FF"/>
                <w:lang w:val="en-US" w:eastAsia="zh-CN"/>
              </w:rPr>
            </w:pPr>
            <w:r>
              <w:rPr>
                <w:rFonts w:hint="eastAsia" w:cs="Arial"/>
                <w:bCs/>
                <w:color w:val="0000FF"/>
                <w:lang w:val="en-US" w:eastAsia="zh-CN"/>
              </w:rPr>
              <w:t>Set 1 Requirements in dBm</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FF"/>
                <w:sz w:val="22"/>
                <w:szCs w:val="22"/>
                <w:u w:val="none"/>
              </w:rPr>
            </w:pPr>
            <w:r>
              <w:rPr>
                <w:rFonts w:hint="default" w:ascii="Arial" w:hAnsi="Arial" w:eastAsia="等线" w:cs="Arial"/>
                <w:i w:val="0"/>
                <w:color w:val="0000FF"/>
                <w:kern w:val="0"/>
                <w:sz w:val="22"/>
                <w:szCs w:val="22"/>
                <w:u w:val="none"/>
                <w:lang w:val="en-US" w:eastAsia="zh-CN" w:bidi="ar"/>
              </w:rPr>
              <w:t>-18.4</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FF"/>
                <w:sz w:val="22"/>
                <w:szCs w:val="22"/>
                <w:u w:val="none"/>
              </w:rPr>
            </w:pPr>
            <w:r>
              <w:rPr>
                <w:rFonts w:hint="default" w:ascii="Arial" w:hAnsi="Arial" w:eastAsia="等线" w:cs="Arial"/>
                <w:i w:val="0"/>
                <w:color w:val="0000FF"/>
                <w:kern w:val="0"/>
                <w:sz w:val="22"/>
                <w:szCs w:val="22"/>
                <w:u w:val="none"/>
                <w:lang w:val="en-US" w:eastAsia="zh-CN" w:bidi="ar"/>
              </w:rPr>
              <w:t>5.5</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wordWrap/>
              <w:jc w:val="left"/>
              <w:textAlignment w:val="bottom"/>
              <w:rPr>
                <w:rFonts w:hint="default" w:ascii="Arial" w:hAnsi="Arial" w:eastAsia="等线" w:cs="Arial"/>
                <w:i w:val="0"/>
                <w:color w:val="0000FF"/>
                <w:kern w:val="0"/>
                <w:sz w:val="22"/>
                <w:szCs w:val="22"/>
                <w:u w:val="none"/>
                <w:lang w:val="en-US" w:eastAsia="zh-CN" w:bidi="ar"/>
              </w:rPr>
            </w:pPr>
            <w:r>
              <w:rPr>
                <w:rFonts w:hint="default" w:ascii="Arial" w:hAnsi="Arial" w:eastAsia="等线" w:cs="Arial"/>
                <w:i w:val="0"/>
                <w:color w:val="0000FF"/>
                <w:kern w:val="0"/>
                <w:sz w:val="22"/>
                <w:szCs w:val="22"/>
                <w:u w:val="none"/>
                <w:lang w:val="en-US" w:eastAsia="zh-CN" w:bidi="ar"/>
              </w:rPr>
              <w:t>No A-MPR required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185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3"/>
              <w:jc w:val="left"/>
              <w:rPr>
                <w:rFonts w:hint="eastAsia" w:cs="Arial"/>
                <w:bCs/>
                <w:color w:val="FF0000"/>
                <w:lang w:val="en-US" w:eastAsia="zh-CN"/>
              </w:rPr>
            </w:pPr>
            <w:r>
              <w:rPr>
                <w:rFonts w:hint="eastAsia" w:cs="Arial"/>
                <w:bCs/>
                <w:color w:val="FF0000"/>
                <w:lang w:val="en-US" w:eastAsia="zh-CN"/>
              </w:rPr>
              <w:t>Set 2 Requirements</w:t>
            </w:r>
          </w:p>
          <w:p>
            <w:pPr>
              <w:pStyle w:val="33"/>
              <w:jc w:val="left"/>
              <w:rPr>
                <w:rFonts w:hint="default" w:cs="Arial"/>
                <w:bCs/>
                <w:color w:val="FF0000"/>
                <w:lang w:val="en-US" w:eastAsia="zh-CN"/>
              </w:rPr>
            </w:pPr>
            <w:r>
              <w:rPr>
                <w:rFonts w:hint="eastAsia" w:cs="Arial"/>
                <w:bCs/>
                <w:color w:val="FF0000"/>
                <w:lang w:val="en-US" w:eastAsia="zh-CN"/>
              </w:rPr>
              <w:t>In dBm</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FF0000"/>
                <w:sz w:val="22"/>
                <w:szCs w:val="22"/>
                <w:u w:val="none"/>
                <w:lang w:val="en-US"/>
              </w:rPr>
            </w:pPr>
            <w:r>
              <w:rPr>
                <w:rFonts w:hint="default" w:ascii="Arial" w:hAnsi="Arial" w:eastAsia="等线" w:cs="Arial"/>
                <w:i w:val="0"/>
                <w:color w:val="FF0000"/>
                <w:kern w:val="0"/>
                <w:sz w:val="22"/>
                <w:szCs w:val="22"/>
                <w:highlight w:val="yellow"/>
                <w:u w:val="none"/>
                <w:lang w:val="en-US" w:eastAsia="zh-CN" w:bidi="ar"/>
              </w:rPr>
              <w:t>-40</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FF0000"/>
                <w:sz w:val="22"/>
                <w:szCs w:val="22"/>
                <w:u w:val="none"/>
              </w:rPr>
            </w:pPr>
            <w:r>
              <w:rPr>
                <w:rFonts w:hint="default" w:ascii="Arial" w:hAnsi="Arial" w:eastAsia="等线" w:cs="Arial"/>
                <w:i w:val="0"/>
                <w:color w:val="FF0000"/>
                <w:kern w:val="0"/>
                <w:sz w:val="22"/>
                <w:szCs w:val="22"/>
                <w:highlight w:val="cyan"/>
                <w:u w:val="none"/>
                <w:lang w:val="en-US" w:eastAsia="zh-CN" w:bidi="ar"/>
              </w:rPr>
              <w:t>-16</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wordWrap w:val="0"/>
              <w:jc w:val="both"/>
              <w:textAlignment w:val="bottom"/>
              <w:rPr>
                <w:rFonts w:hint="default" w:ascii="Arial" w:hAnsi="Arial" w:eastAsia="等线" w:cs="Arial"/>
                <w:i w:val="0"/>
                <w:color w:val="FF0000"/>
                <w:kern w:val="0"/>
                <w:sz w:val="22"/>
                <w:szCs w:val="22"/>
                <w:u w:val="none"/>
                <w:lang w:val="en-US" w:eastAsia="zh-CN" w:bidi="ar"/>
              </w:rPr>
            </w:pPr>
            <w:r>
              <w:rPr>
                <w:rFonts w:hint="eastAsia" w:ascii="Arial" w:hAnsi="Arial" w:eastAsia="等线" w:cs="Arial"/>
                <w:i w:val="0"/>
                <w:color w:val="FF0000"/>
                <w:kern w:val="0"/>
                <w:sz w:val="22"/>
                <w:szCs w:val="22"/>
                <w:u w:val="none"/>
                <w:lang w:val="en-US" w:eastAsia="zh-CN" w:bidi="ar"/>
              </w:rPr>
              <w:t>Depend on filtering performance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6" w:hRule="atLeast"/>
          <w:jc w:val="center"/>
        </w:trPr>
        <w:tc>
          <w:tcPr>
            <w:tcW w:w="185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3"/>
              <w:jc w:val="left"/>
              <w:rPr>
                <w:rFonts w:hint="eastAsia" w:cs="Arial"/>
                <w:bCs/>
                <w:lang w:val="en-US" w:eastAsia="zh-CN"/>
              </w:rPr>
            </w:pPr>
            <w:r>
              <w:rPr>
                <w:rFonts w:hint="eastAsia" w:cs="Arial"/>
                <w:bCs/>
                <w:lang w:val="en-US" w:eastAsia="zh-CN"/>
              </w:rPr>
              <w:t>MBW In kHz</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1000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sz w:val="22"/>
                <w:szCs w:val="22"/>
                <w:u w:val="none"/>
              </w:rPr>
            </w:pPr>
            <w:r>
              <w:rPr>
                <w:rFonts w:hint="default" w:ascii="Arial" w:hAnsi="Arial" w:eastAsia="等线" w:cs="Arial"/>
                <w:i w:val="0"/>
                <w:color w:val="000000"/>
                <w:kern w:val="0"/>
                <w:sz w:val="22"/>
                <w:szCs w:val="22"/>
                <w:u w:val="none"/>
                <w:lang w:val="en-US" w:eastAsia="zh-CN" w:bidi="ar"/>
              </w:rPr>
              <w:t>1000</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default" w:ascii="Arial" w:hAnsi="Arial" w:eastAsia="等线" w:cs="Arial"/>
                <w:i w:val="0"/>
                <w:color w:val="000000"/>
                <w:kern w:val="0"/>
                <w:sz w:val="22"/>
                <w:szCs w:val="22"/>
                <w:u w:val="none"/>
                <w:lang w:val="en-US" w:eastAsia="zh-CN" w:bidi="ar"/>
              </w:rPr>
            </w:pPr>
          </w:p>
        </w:tc>
      </w:tr>
    </w:tbl>
    <w:p>
      <w:pPr>
        <w:pStyle w:val="32"/>
        <w:ind w:left="0" w:leftChars="0" w:firstLine="0" w:firstLineChars="0"/>
        <w:jc w:val="left"/>
        <w:rPr>
          <w:rFonts w:hint="default"/>
          <w:lang w:val="en-US" w:eastAsia="zh-CN"/>
        </w:rPr>
      </w:pPr>
    </w:p>
    <w:p>
      <w:pPr>
        <w:pStyle w:val="32"/>
        <w:ind w:left="0" w:leftChars="0" w:firstLine="0" w:firstLineChars="0"/>
        <w:jc w:val="left"/>
        <w:rPr>
          <w:rFonts w:hint="default"/>
          <w:lang w:val="en-US" w:eastAsia="zh-CN"/>
        </w:rPr>
      </w:pPr>
      <w:r>
        <w:rPr>
          <w:rFonts w:hint="eastAsia"/>
          <w:lang w:val="en-US" w:eastAsia="zh-CN"/>
        </w:rPr>
        <w:t xml:space="preserve">As illustrated as above, if front-end filter could provide 10dB attenuation within the frequency range 1559-1605MHz, it should be okay not to define A-MPR requirements for NS_57. </w:t>
      </w:r>
    </w:p>
    <w:p>
      <w:pPr>
        <w:pStyle w:val="32"/>
        <w:ind w:left="0" w:leftChars="0" w:firstLine="0" w:firstLineChars="0"/>
        <w:jc w:val="left"/>
        <w:rPr>
          <w:rFonts w:hint="default"/>
          <w:highlight w:val="yellow"/>
          <w:lang w:val="en-US" w:eastAsia="zh-CN"/>
        </w:rPr>
      </w:pPr>
      <w:r>
        <w:rPr>
          <w:rFonts w:hint="eastAsia"/>
          <w:b/>
          <w:bCs/>
          <w:lang w:val="en-US" w:eastAsia="zh-CN"/>
        </w:rPr>
        <w:t>Proposal 5</w:t>
      </w:r>
      <w:r>
        <w:rPr>
          <w:rFonts w:hint="eastAsia"/>
          <w:lang w:val="en-US" w:eastAsia="zh-CN"/>
        </w:rPr>
        <w:t xml:space="preserve">: </w:t>
      </w:r>
      <w:r>
        <w:rPr>
          <w:rFonts w:hint="eastAsia"/>
          <w:highlight w:val="none"/>
          <w:lang w:val="en-US" w:eastAsia="zh-CN"/>
        </w:rPr>
        <w:t>no A-MPR requirement is needed fro NS_57 if filter could provide 10dB attenuation on the protected frequency range 1559-1605MHz.</w:t>
      </w:r>
    </w:p>
    <w:bookmarkEnd w:id="1"/>
    <w:bookmarkEnd w:id="2"/>
    <w:bookmarkEnd w:id="3"/>
    <w:bookmarkEnd w:id="4"/>
    <w:p>
      <w:pPr>
        <w:pStyle w:val="53"/>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 </w:t>
      </w:r>
      <w:r>
        <w:rPr>
          <w:rFonts w:hint="eastAsia"/>
          <w:kern w:val="0"/>
          <w:sz w:val="20"/>
          <w:szCs w:val="20"/>
          <w:highlight w:val="none"/>
          <w:lang w:val="en-US" w:eastAsia="zh-CN"/>
        </w:rPr>
        <w:t>share some initial views on NTN UE RF requirements and proposals/observations are made as following:</w:t>
      </w:r>
    </w:p>
    <w:p>
      <w:pPr>
        <w:pStyle w:val="32"/>
        <w:ind w:left="0" w:leftChars="0" w:firstLine="0" w:firstLineChars="0"/>
        <w:rPr>
          <w:rFonts w:hint="eastAsia"/>
          <w:lang w:val="en-US" w:eastAsia="zh-CN"/>
        </w:rPr>
      </w:pPr>
      <w:r>
        <w:rPr>
          <w:rFonts w:hint="eastAsia"/>
          <w:b/>
          <w:bCs/>
          <w:lang w:val="en-US" w:eastAsia="zh-CN"/>
        </w:rPr>
        <w:t>Observation 1:</w:t>
      </w:r>
      <w:r>
        <w:rPr>
          <w:rFonts w:hint="eastAsia"/>
          <w:lang w:val="en-US" w:eastAsia="zh-CN"/>
        </w:rPr>
        <w:t xml:space="preserve"> from n256 UL coexisting with n34 DL, some geographical separation between NTN coverage and TN coverage as shown in Figure 2 is needed, otherwise NTN uplink in band n256 would be severely impacted due to A-MPR requirement of NS_24.</w:t>
      </w:r>
    </w:p>
    <w:p>
      <w:pPr>
        <w:pStyle w:val="32"/>
        <w:ind w:left="0" w:leftChars="0" w:firstLine="0" w:firstLineChars="0"/>
        <w:rPr>
          <w:rFonts w:hint="default"/>
          <w:lang w:val="en-US" w:eastAsia="zh-CN"/>
        </w:rPr>
      </w:pPr>
      <w:r>
        <w:rPr>
          <w:rFonts w:hint="eastAsia"/>
          <w:b/>
          <w:bCs/>
          <w:lang w:val="en-US" w:eastAsia="zh-CN"/>
        </w:rPr>
        <w:t>Observation 2:</w:t>
      </w:r>
      <w:r>
        <w:rPr>
          <w:rFonts w:hint="eastAsia"/>
          <w:lang w:val="en-US" w:eastAsia="zh-CN"/>
        </w:rPr>
        <w:t xml:space="preserve"> from n256 DL coexisting with n1 DL, some geographical separation between NTN coverage and TN coverage as shown in Figure 3 is needed, otherwise NTN DL in band n256 would be severely impacted due to TN DL interference in band n1.</w:t>
      </w:r>
    </w:p>
    <w:p>
      <w:pPr>
        <w:pStyle w:val="32"/>
        <w:ind w:left="0" w:leftChars="0" w:firstLine="0" w:firstLineChars="0"/>
        <w:rPr>
          <w:rFonts w:hint="eastAsia"/>
          <w:b/>
          <w:bCs/>
          <w:lang w:val="en-US" w:eastAsia="zh-CN"/>
        </w:rPr>
      </w:pPr>
      <w:r>
        <w:rPr>
          <w:rFonts w:hint="eastAsia"/>
          <w:b/>
          <w:bCs/>
          <w:lang w:val="en-US" w:eastAsia="zh-CN"/>
        </w:rPr>
        <w:t xml:space="preserve">Proposal 1: </w:t>
      </w:r>
      <w:r>
        <w:rPr>
          <w:rFonts w:hint="eastAsia"/>
          <w:b w:val="0"/>
          <w:bCs w:val="0"/>
          <w:lang w:val="en-US" w:eastAsia="zh-CN"/>
        </w:rPr>
        <w:t>propose to</w:t>
      </w:r>
      <w:r>
        <w:rPr>
          <w:rFonts w:hint="eastAsia"/>
          <w:lang w:val="en-US" w:eastAsia="zh-CN"/>
        </w:rPr>
        <w:t xml:space="preserve"> define some signalling mechanism in RAN2 to enable the isolation region between NTN coverage and TN coverage and send the corresponding LS to RAN2.</w:t>
      </w:r>
      <w:r>
        <w:rPr>
          <w:rFonts w:hint="eastAsia"/>
          <w:b/>
          <w:bCs/>
          <w:lang w:val="en-US" w:eastAsia="zh-CN"/>
        </w:rPr>
        <w:t xml:space="preserve"> </w:t>
      </w:r>
    </w:p>
    <w:p>
      <w:pPr>
        <w:pStyle w:val="32"/>
        <w:ind w:left="0" w:leftChars="0" w:firstLine="0" w:firstLineChars="0"/>
        <w:rPr>
          <w:rFonts w:hint="eastAsia"/>
          <w:b w:val="0"/>
          <w:bCs w:val="0"/>
          <w:lang w:val="en-US" w:eastAsia="zh-CN"/>
        </w:rPr>
      </w:pPr>
      <w:r>
        <w:rPr>
          <w:rFonts w:hint="eastAsia"/>
          <w:b/>
          <w:bCs/>
          <w:lang w:val="en-US" w:eastAsia="zh-CN"/>
        </w:rPr>
        <w:t xml:space="preserve">Proposal 2: </w:t>
      </w:r>
      <w:r>
        <w:rPr>
          <w:rFonts w:hint="eastAsia"/>
          <w:b w:val="0"/>
          <w:bCs w:val="0"/>
          <w:lang w:val="en-US" w:eastAsia="zh-CN"/>
        </w:rPr>
        <w:t>propose not to define NS_24 and A-MPR requirements for n256 if isolation regions between NTN coverage and TN coverage is enabled.</w:t>
      </w:r>
    </w:p>
    <w:p>
      <w:pPr>
        <w:pStyle w:val="32"/>
        <w:ind w:left="0" w:leftChars="0" w:firstLine="0" w:firstLineChars="0"/>
        <w:rPr>
          <w:rFonts w:hint="eastAsia"/>
          <w:b w:val="0"/>
          <w:bCs w:val="0"/>
          <w:lang w:val="en-US" w:eastAsia="zh-CN"/>
        </w:rPr>
      </w:pPr>
      <w:r>
        <w:rPr>
          <w:rFonts w:hint="eastAsia"/>
          <w:b/>
          <w:bCs/>
          <w:lang w:val="en-US" w:eastAsia="zh-CN"/>
        </w:rPr>
        <w:t xml:space="preserve">Proposal 3: </w:t>
      </w:r>
      <w:r>
        <w:rPr>
          <w:rFonts w:hint="eastAsia"/>
          <w:lang w:val="en-US" w:eastAsia="zh-CN"/>
        </w:rPr>
        <w:t xml:space="preserve">propose to not define NS_05 and NS_51 and corresponding A-MPR requirements for n256 </w:t>
      </w:r>
      <w:r>
        <w:rPr>
          <w:rFonts w:hint="eastAsia"/>
          <w:b w:val="0"/>
          <w:bCs w:val="0"/>
          <w:lang w:val="en-US" w:eastAsia="zh-CN"/>
        </w:rPr>
        <w:t>if isolation regions between NTN coverage and TN coverage is enabled.</w:t>
      </w:r>
    </w:p>
    <w:p>
      <w:pPr>
        <w:pStyle w:val="32"/>
        <w:ind w:left="0" w:leftChars="0" w:firstLine="0" w:firstLineChars="0"/>
        <w:rPr>
          <w:rFonts w:hint="eastAsia"/>
          <w:b w:val="0"/>
          <w:bCs w:val="0"/>
          <w:lang w:val="en-US" w:eastAsia="zh-CN"/>
        </w:rPr>
      </w:pPr>
      <w:r>
        <w:rPr>
          <w:rFonts w:hint="eastAsia"/>
          <w:b/>
          <w:bCs/>
          <w:lang w:val="en-US" w:eastAsia="zh-CN"/>
        </w:rPr>
        <w:t>Proposal 4:</w:t>
      </w:r>
      <w:r>
        <w:rPr>
          <w:rFonts w:hint="eastAsia"/>
          <w:b w:val="0"/>
          <w:bCs w:val="0"/>
          <w:lang w:val="en-US" w:eastAsia="zh-CN"/>
        </w:rPr>
        <w:t xml:space="preserve"> If there is no consensus reached for coexistence between these bands (e.g. n2, n25, n70, 33, 35 and 37 etc), we propose to leave it to future release and declare the coexistence between n256 and those TN bands is not specified in Rel-17.</w:t>
      </w:r>
    </w:p>
    <w:p>
      <w:pPr>
        <w:pStyle w:val="32"/>
        <w:ind w:left="0" w:leftChars="0" w:firstLine="0" w:firstLineChars="0"/>
        <w:jc w:val="left"/>
        <w:rPr>
          <w:rFonts w:hint="default"/>
          <w:highlight w:val="yellow"/>
          <w:lang w:val="en-US" w:eastAsia="zh-CN"/>
        </w:rPr>
      </w:pPr>
      <w:r>
        <w:rPr>
          <w:rFonts w:hint="eastAsia"/>
          <w:b/>
          <w:bCs/>
          <w:lang w:val="en-US" w:eastAsia="zh-CN"/>
        </w:rPr>
        <w:t>Proposal 5</w:t>
      </w:r>
      <w:r>
        <w:rPr>
          <w:rFonts w:hint="eastAsia"/>
          <w:lang w:val="en-US" w:eastAsia="zh-CN"/>
        </w:rPr>
        <w:t xml:space="preserve">: </w:t>
      </w:r>
      <w:r>
        <w:rPr>
          <w:rFonts w:hint="eastAsia"/>
          <w:highlight w:val="none"/>
          <w:lang w:val="en-US" w:eastAsia="zh-CN"/>
        </w:rPr>
        <w:t>no A-MPR requirement is needed fro NS_57 if filter could provide 10dB attenuation on the protected frequency range 1559-1605MHz.</w:t>
      </w:r>
    </w:p>
    <w:p>
      <w:pPr>
        <w:pStyle w:val="53"/>
        <w:tabs>
          <w:tab w:val="left" w:pos="567"/>
          <w:tab w:val="clear" w:pos="1985"/>
        </w:tabs>
        <w:adjustRightInd w:val="0"/>
        <w:ind w:left="510" w:hanging="510"/>
        <w:rPr>
          <w:highlight w:val="none"/>
        </w:rPr>
      </w:pPr>
      <w:r>
        <w:rPr>
          <w:highlight w:val="none"/>
        </w:rPr>
        <w:t>References</w:t>
      </w:r>
    </w:p>
    <w:p>
      <w:pPr>
        <w:pStyle w:val="51"/>
        <w:numPr>
          <w:ilvl w:val="0"/>
          <w:numId w:val="5"/>
        </w:numPr>
        <w:rPr>
          <w:rFonts w:eastAsia="宋体"/>
          <w:sz w:val="20"/>
          <w:szCs w:val="20"/>
          <w:highlight w:val="none"/>
          <w:lang w:val="en-US"/>
        </w:rPr>
      </w:pPr>
      <w:r>
        <w:rPr>
          <w:rFonts w:hint="eastAsia"/>
          <w:sz w:val="20"/>
          <w:szCs w:val="22"/>
          <w:lang w:val="en-US" w:eastAsia="zh-CN"/>
        </w:rPr>
        <w:t>R4-2120676</w:t>
      </w:r>
      <w:r>
        <w:rPr>
          <w:rFonts w:hint="eastAsia"/>
          <w:sz w:val="20"/>
          <w:szCs w:val="22"/>
          <w:lang w:val="en-US" w:eastAsia="zh-CN"/>
        </w:rPr>
        <w:tab/>
      </w:r>
      <w:r>
        <w:rPr>
          <w:rFonts w:hint="eastAsia"/>
          <w:sz w:val="20"/>
          <w:szCs w:val="22"/>
          <w:lang w:val="en-US" w:eastAsia="zh-CN"/>
        </w:rPr>
        <w:t>WF on NTN UE RF requirements, approved.</w:t>
      </w:r>
    </w:p>
    <w:p>
      <w:pPr>
        <w:pStyle w:val="51"/>
        <w:numPr>
          <w:ilvl w:val="0"/>
          <w:numId w:val="5"/>
        </w:numPr>
        <w:rPr>
          <w:rFonts w:eastAsia="宋体"/>
          <w:sz w:val="20"/>
          <w:szCs w:val="20"/>
          <w:highlight w:val="none"/>
          <w:lang w:val="en-US"/>
        </w:rPr>
      </w:pPr>
      <w:r>
        <w:rPr>
          <w:rFonts w:hint="eastAsia"/>
          <w:sz w:val="20"/>
          <w:szCs w:val="22"/>
          <w:lang w:val="en-US" w:eastAsia="zh-CN"/>
        </w:rPr>
        <w:t>R4-2203036</w:t>
      </w:r>
      <w:r>
        <w:rPr>
          <w:rFonts w:hint="eastAsia"/>
          <w:sz w:val="20"/>
          <w:szCs w:val="22"/>
          <w:lang w:val="en-US" w:eastAsia="zh-CN"/>
        </w:rPr>
        <w:tab/>
      </w:r>
      <w:r>
        <w:rPr>
          <w:rFonts w:hint="eastAsia"/>
          <w:sz w:val="20"/>
          <w:szCs w:val="22"/>
          <w:lang w:val="en-US" w:eastAsia="zh-CN"/>
        </w:rPr>
        <w:t>WF on UE RF requirement for NTN UE, approved.</w:t>
      </w:r>
    </w:p>
    <w:p>
      <w:pPr>
        <w:pStyle w:val="51"/>
        <w:numPr>
          <w:ilvl w:val="0"/>
          <w:numId w:val="5"/>
        </w:numPr>
        <w:rPr>
          <w:rFonts w:eastAsia="宋体"/>
          <w:sz w:val="20"/>
          <w:szCs w:val="20"/>
          <w:highlight w:val="none"/>
          <w:lang w:val="en-US"/>
        </w:rPr>
      </w:pPr>
      <w:r>
        <w:rPr>
          <w:rFonts w:hint="eastAsia"/>
          <w:sz w:val="20"/>
          <w:szCs w:val="22"/>
          <w:lang w:val="en-US" w:eastAsia="zh-CN"/>
        </w:rPr>
        <w:t>R4-2203113</w:t>
      </w:r>
      <w:r>
        <w:rPr>
          <w:rFonts w:hint="eastAsia"/>
          <w:sz w:val="20"/>
          <w:szCs w:val="22"/>
          <w:lang w:val="en-US" w:eastAsia="zh-CN"/>
        </w:rPr>
        <w:tab/>
      </w:r>
      <w:r>
        <w:rPr>
          <w:rFonts w:hint="eastAsia"/>
          <w:sz w:val="20"/>
          <w:szCs w:val="22"/>
          <w:lang w:val="en-US" w:eastAsia="zh-CN"/>
        </w:rPr>
        <w:t>Email discussion summary for [101-bis-e][308] NTN_Solutions_Part3, Noted.</w:t>
      </w:r>
    </w:p>
    <w:p>
      <w:pPr>
        <w:pStyle w:val="53"/>
        <w:tabs>
          <w:tab w:val="left" w:pos="567"/>
          <w:tab w:val="clear" w:pos="1985"/>
        </w:tabs>
        <w:adjustRightInd w:val="0"/>
        <w:ind w:left="510" w:hanging="510"/>
        <w:rPr>
          <w:highlight w:val="none"/>
        </w:rPr>
      </w:pPr>
      <w:r>
        <w:rPr>
          <w:rFonts w:hint="eastAsia"/>
          <w:highlight w:val="none"/>
          <w:lang w:val="en-US" w:eastAsia="zh-CN"/>
        </w:rPr>
        <w:t>Annex LS</w:t>
      </w:r>
    </w:p>
    <w:p>
      <w:pPr>
        <w:spacing w:after="60"/>
        <w:ind w:left="1985" w:hanging="1985"/>
        <w:jc w:val="both"/>
        <w:rPr>
          <w:rFonts w:hint="default"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LS to </w:t>
      </w:r>
      <w:r>
        <w:rPr>
          <w:rFonts w:hint="eastAsia" w:ascii="Arial" w:hAnsi="Arial" w:cs="Arial"/>
          <w:b/>
          <w:lang w:val="en-US" w:eastAsia="zh-CN"/>
        </w:rPr>
        <w:t>RAN2 on isolation regions between NTN coverage and TN coverage</w:t>
      </w:r>
    </w:p>
    <w:p>
      <w:pPr>
        <w:spacing w:after="60"/>
        <w:ind w:left="1985" w:hanging="1985"/>
        <w:jc w:val="both"/>
        <w:rPr>
          <w:rFonts w:ascii="Arial" w:hAnsi="Arial" w:cs="Arial"/>
          <w:bCs/>
        </w:rPr>
      </w:pPr>
      <w:r>
        <w:rPr>
          <w:rFonts w:ascii="Arial" w:hAnsi="Arial" w:cs="Arial"/>
          <w:b/>
        </w:rPr>
        <w:t>Response to:</w:t>
      </w:r>
      <w:r>
        <w:rPr>
          <w:rFonts w:ascii="Arial" w:hAnsi="Arial" w:cs="Arial"/>
          <w:bCs/>
        </w:rPr>
        <w:tab/>
      </w:r>
    </w:p>
    <w:p>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hint="eastAsia" w:ascii="Arial" w:hAnsi="Arial" w:cs="Arial"/>
          <w:bCs/>
          <w:lang w:eastAsia="ja-JP"/>
        </w:rPr>
        <w:t>Release 1</w:t>
      </w:r>
      <w:r>
        <w:rPr>
          <w:rFonts w:ascii="Arial" w:hAnsi="Arial" w:cs="Arial"/>
          <w:bCs/>
          <w:lang w:eastAsia="ja-JP"/>
        </w:rPr>
        <w:t>7</w:t>
      </w:r>
    </w:p>
    <w:p>
      <w:pPr>
        <w:spacing w:after="60"/>
        <w:ind w:left="1985" w:hanging="1985"/>
        <w:jc w:val="both"/>
        <w:rPr>
          <w:rFonts w:hint="default" w:ascii="Arial" w:hAnsi="Arial" w:eastAsia="宋体" w:cs="Arial"/>
          <w:bCs/>
          <w:lang w:val="en-US" w:eastAsia="zh-CN"/>
        </w:rPr>
      </w:pPr>
      <w:r>
        <w:rPr>
          <w:rFonts w:ascii="Arial" w:hAnsi="Arial" w:cs="Arial"/>
          <w:b/>
        </w:rPr>
        <w:t>Work Item:</w:t>
      </w:r>
      <w:r>
        <w:rPr>
          <w:rFonts w:ascii="Arial" w:hAnsi="Arial" w:cs="Arial"/>
          <w:bCs/>
        </w:rPr>
        <w:tab/>
      </w:r>
      <w:r>
        <w:rPr>
          <w:rFonts w:ascii="Arial" w:hAnsi="Arial" w:cs="Arial"/>
          <w:sz w:val="18"/>
          <w:szCs w:val="18"/>
          <w:lang w:eastAsia="ja-JP"/>
        </w:rPr>
        <w:t>NR_NTN_solutions-Core</w:t>
      </w:r>
    </w:p>
    <w:p>
      <w:pPr>
        <w:spacing w:after="60"/>
        <w:ind w:left="1985" w:hanging="1985"/>
        <w:jc w:val="both"/>
        <w:rPr>
          <w:rFonts w:ascii="Arial" w:hAnsi="Arial" w:cs="Arial"/>
          <w:b/>
        </w:rPr>
      </w:pPr>
    </w:p>
    <w:p>
      <w:pPr>
        <w:spacing w:after="60"/>
        <w:ind w:left="1985" w:hanging="1985"/>
        <w:jc w:val="both"/>
        <w:rPr>
          <w:rFonts w:hint="eastAsia" w:ascii="Arial" w:hAnsi="Arial" w:eastAsia="宋体" w:cs="Arial"/>
          <w:bCs/>
          <w:lang w:val="en-US" w:eastAsia="zh-CN"/>
        </w:rPr>
      </w:pPr>
      <w:r>
        <w:rPr>
          <w:rFonts w:ascii="Arial" w:hAnsi="Arial" w:cs="Arial"/>
          <w:b/>
        </w:rPr>
        <w:t>Source:</w:t>
      </w:r>
      <w:r>
        <w:rPr>
          <w:rFonts w:ascii="Arial" w:hAnsi="Arial" w:cs="Arial"/>
          <w:bCs/>
        </w:rPr>
        <w:tab/>
      </w:r>
      <w:r>
        <w:rPr>
          <w:rFonts w:ascii="Arial" w:hAnsi="Arial" w:cs="Arial"/>
          <w:bCs/>
        </w:rPr>
        <w:t>RAN</w:t>
      </w:r>
      <w:r>
        <w:rPr>
          <w:rFonts w:hint="eastAsia" w:ascii="Arial" w:hAnsi="Arial" w:eastAsia="宋体" w:cs="Arial"/>
          <w:bCs/>
          <w:lang w:val="en-US" w:eastAsia="zh-CN"/>
        </w:rPr>
        <w:t>4</w:t>
      </w:r>
    </w:p>
    <w:p>
      <w:pPr>
        <w:spacing w:after="60"/>
        <w:ind w:left="1985" w:hanging="1985"/>
        <w:jc w:val="both"/>
        <w:rPr>
          <w:rFonts w:hint="eastAsia" w:ascii="Arial" w:hAnsi="Arial" w:eastAsia="宋体" w:cs="Arial"/>
          <w:bCs/>
          <w:lang w:eastAsia="zh-CN"/>
        </w:rPr>
      </w:pPr>
      <w:r>
        <w:rPr>
          <w:rFonts w:ascii="Arial" w:hAnsi="Arial" w:cs="Arial"/>
          <w:b/>
        </w:rPr>
        <w:t>To:</w:t>
      </w:r>
      <w:r>
        <w:rPr>
          <w:rFonts w:ascii="Arial" w:hAnsi="Arial" w:cs="Arial"/>
          <w:bCs/>
        </w:rPr>
        <w:tab/>
      </w:r>
      <w:r>
        <w:rPr>
          <w:rFonts w:ascii="Arial" w:hAnsi="Arial" w:cs="Arial"/>
          <w:bCs/>
        </w:rPr>
        <w:t>RAN</w:t>
      </w:r>
      <w:r>
        <w:rPr>
          <w:rFonts w:hint="eastAsia" w:ascii="Arial" w:hAnsi="Arial" w:eastAsia="宋体" w:cs="Arial"/>
          <w:bCs/>
          <w:lang w:val="en-US" w:eastAsia="zh-CN"/>
        </w:rPr>
        <w:t>2</w:t>
      </w:r>
    </w:p>
    <w:p>
      <w:pPr>
        <w:spacing w:after="60"/>
        <w:ind w:left="1985" w:hanging="1985"/>
        <w:jc w:val="both"/>
        <w:rPr>
          <w:rFonts w:ascii="Arial" w:hAnsi="Arial" w:cs="Arial"/>
          <w:bCs/>
          <w:lang w:eastAsia="ja-JP"/>
        </w:rPr>
      </w:pPr>
      <w:r>
        <w:rPr>
          <w:rFonts w:ascii="Arial" w:hAnsi="Arial" w:cs="Arial"/>
          <w:b/>
        </w:rPr>
        <w:t>Cc:</w:t>
      </w:r>
    </w:p>
    <w:p>
      <w:pPr>
        <w:spacing w:after="60"/>
        <w:ind w:left="1985" w:hanging="1985"/>
        <w:jc w:val="both"/>
        <w:rPr>
          <w:rFonts w:ascii="Arial" w:hAnsi="Arial" w:cs="Arial"/>
          <w:bCs/>
        </w:rPr>
      </w:pPr>
    </w:p>
    <w:p>
      <w:pPr>
        <w:tabs>
          <w:tab w:val="left" w:pos="2268"/>
        </w:tabs>
        <w:jc w:val="both"/>
        <w:rPr>
          <w:rFonts w:ascii="Arial" w:hAnsi="Arial" w:cs="Arial"/>
          <w:bCs/>
        </w:rPr>
      </w:pPr>
      <w:r>
        <w:rPr>
          <w:rFonts w:ascii="Arial" w:hAnsi="Arial" w:cs="Arial"/>
          <w:b/>
        </w:rPr>
        <w:t>Contact Person:</w:t>
      </w:r>
      <w:r>
        <w:rPr>
          <w:rFonts w:ascii="Arial" w:hAnsi="Arial" w:cs="Arial"/>
          <w:bCs/>
        </w:rPr>
        <w:tab/>
      </w:r>
    </w:p>
    <w:p>
      <w:pPr>
        <w:bidi w:val="0"/>
        <w:ind w:leftChars="300"/>
        <w:rPr>
          <w:rFonts w:hint="default" w:eastAsia="宋体" w:cs="Arial"/>
          <w:b/>
          <w:bCs/>
          <w:lang w:val="en-US" w:eastAsia="zh-CN"/>
        </w:rPr>
      </w:pPr>
      <w:r>
        <w:rPr>
          <w:rFonts w:cs="Arial"/>
          <w:b/>
          <w:bCs/>
          <w:lang w:val="fi-FI"/>
        </w:rPr>
        <w:t>Name:</w:t>
      </w:r>
      <w:r>
        <w:rPr>
          <w:rFonts w:cs="Arial"/>
          <w:b/>
          <w:bCs/>
          <w:lang w:val="fi-FI"/>
        </w:rPr>
        <w:tab/>
      </w:r>
      <w:r>
        <w:rPr>
          <w:rFonts w:hint="eastAsia" w:cs="Arial"/>
          <w:b/>
          <w:bCs/>
          <w:lang w:val="en-US" w:eastAsia="zh-CN"/>
        </w:rPr>
        <w:t>Fei Xue</w:t>
      </w:r>
    </w:p>
    <w:p>
      <w:pPr>
        <w:bidi w:val="0"/>
        <w:ind w:leftChars="300"/>
        <w:rPr>
          <w:rFonts w:hint="default" w:eastAsia="宋体" w:cs="Arial"/>
          <w:b/>
          <w:bCs/>
          <w:color w:val="auto"/>
          <w:lang w:val="en-US" w:eastAsia="zh-CN"/>
        </w:rPr>
      </w:pPr>
      <w:r>
        <w:rPr>
          <w:rFonts w:cs="Arial"/>
          <w:b/>
          <w:bCs/>
          <w:color w:val="auto"/>
          <w:lang w:val="fi-FI"/>
        </w:rPr>
        <w:t>E-mail Address:</w:t>
      </w:r>
      <w:r>
        <w:rPr>
          <w:rFonts w:cs="Arial"/>
          <w:b/>
          <w:bCs/>
          <w:color w:val="auto"/>
          <w:lang w:val="fi-FI"/>
        </w:rPr>
        <w:tab/>
      </w:r>
      <w:r>
        <w:rPr>
          <w:rFonts w:hint="eastAsia" w:cs="Arial"/>
          <w:b/>
          <w:bCs/>
          <w:color w:val="auto"/>
          <w:lang w:val="en-US" w:eastAsia="zh-CN"/>
        </w:rPr>
        <w:t>xue.fei25</w:t>
      </w:r>
      <w:r>
        <w:rPr>
          <w:rFonts w:hint="eastAsia" w:eastAsia="宋体" w:cs="Arial"/>
          <w:b/>
          <w:bCs/>
          <w:color w:val="auto"/>
          <w:lang w:val="en-US" w:eastAsia="zh-CN"/>
        </w:rPr>
        <w:t>@zte.com.cn</w:t>
      </w:r>
    </w:p>
    <w:p>
      <w:pPr>
        <w:spacing w:after="60"/>
        <w:ind w:left="1985" w:hanging="1985"/>
        <w:jc w:val="both"/>
        <w:rPr>
          <w:rFonts w:ascii="Arial" w:hAnsi="Arial" w:cs="Arial"/>
          <w:b/>
          <w:lang w:val="fi-FI"/>
        </w:rPr>
      </w:pPr>
    </w:p>
    <w:p>
      <w:pPr>
        <w:pBdr>
          <w:bottom w:val="single" w:color="auto" w:sz="4" w:space="1"/>
        </w:pBdr>
        <w:jc w:val="both"/>
        <w:rPr>
          <w:rFonts w:ascii="Arial" w:hAnsi="Arial" w:cs="Arial"/>
        </w:rPr>
      </w:pPr>
    </w:p>
    <w:p>
      <w:pPr>
        <w:jc w:val="both"/>
        <w:rPr>
          <w:rFonts w:ascii="Arial" w:hAnsi="Arial" w:cs="Arial"/>
        </w:rPr>
      </w:pPr>
    </w:p>
    <w:p>
      <w:pPr>
        <w:spacing w:after="120"/>
        <w:jc w:val="both"/>
        <w:rPr>
          <w:rFonts w:ascii="Arial" w:hAnsi="Arial" w:cs="Arial"/>
          <w:b/>
          <w:lang w:val="en-US"/>
        </w:rPr>
      </w:pPr>
      <w:r>
        <w:rPr>
          <w:rFonts w:ascii="Arial" w:hAnsi="Arial" w:cs="Arial"/>
          <w:b/>
        </w:rPr>
        <w:t>1. Overall Description:</w:t>
      </w:r>
    </w:p>
    <w:p>
      <w:pPr>
        <w:spacing w:before="120" w:after="120"/>
        <w:rPr>
          <w:rFonts w:hint="eastAsia" w:ascii="Arial" w:hAnsi="Arial" w:cs="Arial"/>
          <w:lang w:val="en-US" w:eastAsia="zh-CN"/>
        </w:rPr>
      </w:pPr>
      <w:r>
        <w:rPr>
          <w:rFonts w:hint="eastAsia" w:ascii="Arial" w:hAnsi="Arial" w:cs="Arial"/>
          <w:lang w:val="en-US" w:eastAsia="zh-CN"/>
        </w:rPr>
        <w:t>During the RAN4 NTN coexistence related discussion, RAN4 found that isolation regions between NTN coverage and TN coverage is needed and its detailed reason could be found as following:</w:t>
      </w:r>
    </w:p>
    <w:p>
      <w:pPr>
        <w:spacing w:before="120" w:after="120"/>
        <w:rPr>
          <w:rFonts w:hint="default" w:ascii="Arial" w:hAnsi="Arial" w:cs="Arial"/>
          <w:lang w:val="en-US" w:eastAsia="zh-CN"/>
        </w:rPr>
      </w:pPr>
      <w:r>
        <w:rPr>
          <w:rFonts w:hint="eastAsia" w:ascii="Arial" w:hAnsi="Arial" w:cs="Arial"/>
          <w:lang w:val="en-US" w:eastAsia="zh-CN"/>
        </w:rPr>
        <w:t>Case 1:</w:t>
      </w:r>
    </w:p>
    <w:p>
      <w:pPr>
        <w:pStyle w:val="32"/>
        <w:ind w:left="0" w:leftChars="0" w:firstLine="0" w:firstLineChars="0"/>
        <w:rPr>
          <w:rFonts w:hint="eastAsia" w:ascii="Arial" w:hAnsi="Arial" w:eastAsia="宋体" w:cs="Arial"/>
          <w:kern w:val="2"/>
          <w:sz w:val="21"/>
          <w:szCs w:val="22"/>
          <w:lang w:val="en-US" w:eastAsia="zh-CN" w:bidi="ar-SA"/>
        </w:rPr>
      </w:pPr>
      <w:r>
        <w:rPr>
          <w:rFonts w:hint="eastAsia" w:ascii="Arial" w:hAnsi="Arial" w:eastAsia="宋体" w:cs="Arial"/>
          <w:kern w:val="2"/>
          <w:sz w:val="21"/>
          <w:szCs w:val="22"/>
          <w:lang w:val="en-US" w:eastAsia="zh-CN" w:bidi="ar-SA"/>
        </w:rPr>
        <w:t>From n256 UL coexisting with n34 DL, some geographical separation between NTN coverage and TN coverage as shown in Figure 1 is needed, otherwise NTN uplink in band n256 would be severely impacted due to A-MPR requirement of NS_24.</w:t>
      </w:r>
    </w:p>
    <w:p>
      <w:pPr>
        <w:pStyle w:val="32"/>
        <w:ind w:left="0" w:leftChars="0" w:firstLine="0" w:firstLineChars="0"/>
        <w:jc w:val="center"/>
      </w:pPr>
      <w:r>
        <w:drawing>
          <wp:inline distT="0" distB="0" distL="114300" distR="114300">
            <wp:extent cx="5532120" cy="36880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5532120" cy="3688080"/>
                    </a:xfrm>
                    <a:prstGeom prst="rect">
                      <a:avLst/>
                    </a:prstGeom>
                    <a:noFill/>
                    <a:ln>
                      <a:noFill/>
                    </a:ln>
                  </pic:spPr>
                </pic:pic>
              </a:graphicData>
            </a:graphic>
          </wp:inline>
        </w:drawing>
      </w:r>
    </w:p>
    <w:p>
      <w:pPr>
        <w:pStyle w:val="32"/>
        <w:ind w:left="0" w:leftChars="0" w:firstLine="0" w:firstLineChars="0"/>
        <w:jc w:val="center"/>
        <w:rPr>
          <w:rFonts w:hint="eastAsia"/>
          <w:lang w:val="en-US" w:eastAsia="zh-CN"/>
        </w:rPr>
      </w:pPr>
      <w:r>
        <w:rPr>
          <w:rFonts w:hint="eastAsia"/>
          <w:b/>
          <w:bCs/>
          <w:lang w:val="en-US" w:eastAsia="zh-CN"/>
        </w:rPr>
        <w:t>Figure 1</w:t>
      </w:r>
      <w:r>
        <w:rPr>
          <w:rFonts w:hint="eastAsia"/>
          <w:lang w:val="en-US" w:eastAsia="zh-CN"/>
        </w:rPr>
        <w:t>. the required NTN and TN coexistence scenario from uplink perspective</w:t>
      </w:r>
    </w:p>
    <w:p>
      <w:pPr>
        <w:pStyle w:val="32"/>
        <w:ind w:left="0" w:leftChars="0" w:firstLine="0" w:firstLineChars="0"/>
        <w:rPr>
          <w:rFonts w:hint="default"/>
          <w:lang w:val="en-US" w:eastAsia="zh-CN"/>
        </w:rPr>
      </w:pPr>
    </w:p>
    <w:p>
      <w:pPr>
        <w:spacing w:before="120" w:after="120"/>
        <w:rPr>
          <w:rFonts w:hint="default" w:ascii="Arial" w:hAnsi="Arial" w:cs="Arial"/>
          <w:lang w:val="en-US" w:eastAsia="zh-CN"/>
        </w:rPr>
      </w:pPr>
      <w:r>
        <w:rPr>
          <w:rFonts w:hint="eastAsia" w:ascii="Arial" w:hAnsi="Arial" w:cs="Arial"/>
          <w:lang w:val="en-US" w:eastAsia="zh-CN"/>
        </w:rPr>
        <w:t>Case 2：</w:t>
      </w:r>
    </w:p>
    <w:p>
      <w:pPr>
        <w:spacing w:before="120" w:after="120"/>
        <w:rPr>
          <w:rFonts w:hint="default" w:ascii="Arial" w:hAnsi="Arial" w:cs="Arial"/>
          <w:lang w:val="en-US" w:eastAsia="zh-CN"/>
        </w:rPr>
      </w:pPr>
      <w:r>
        <w:rPr>
          <w:rFonts w:hint="eastAsia" w:ascii="Arial" w:hAnsi="Arial" w:cs="Arial"/>
          <w:lang w:val="en-US" w:eastAsia="zh-CN"/>
        </w:rPr>
        <w:t>From n256 DL coexisting with n1 DL, some geographical separation between NTN coverage and TN coverage as shown in Figure 2 is needed, otherwise NTN DL in band n256 would be severely impacted due to TN DL interference in band n1.</w:t>
      </w:r>
    </w:p>
    <w:p>
      <w:pPr>
        <w:pStyle w:val="32"/>
        <w:ind w:left="0" w:leftChars="0" w:firstLine="0" w:firstLineChars="0"/>
        <w:jc w:val="center"/>
        <w:rPr>
          <w:rFonts w:hint="eastAsia"/>
          <w:lang w:val="en-US" w:eastAsia="zh-CN"/>
        </w:rPr>
      </w:pPr>
      <w:r>
        <w:drawing>
          <wp:inline distT="0" distB="0" distL="114300" distR="114300">
            <wp:extent cx="5532120" cy="368808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7"/>
                    <a:stretch>
                      <a:fillRect/>
                    </a:stretch>
                  </pic:blipFill>
                  <pic:spPr>
                    <a:xfrm>
                      <a:off x="0" y="0"/>
                      <a:ext cx="5532120" cy="3688080"/>
                    </a:xfrm>
                    <a:prstGeom prst="rect">
                      <a:avLst/>
                    </a:prstGeom>
                    <a:noFill/>
                    <a:ln>
                      <a:noFill/>
                    </a:ln>
                  </pic:spPr>
                </pic:pic>
              </a:graphicData>
            </a:graphic>
          </wp:inline>
        </w:drawing>
      </w:r>
    </w:p>
    <w:p>
      <w:pPr>
        <w:pStyle w:val="32"/>
        <w:ind w:left="0" w:leftChars="0" w:firstLine="0" w:firstLineChars="0"/>
        <w:jc w:val="center"/>
        <w:rPr>
          <w:rFonts w:hint="eastAsia"/>
          <w:b/>
          <w:bCs/>
          <w:lang w:val="en-US" w:eastAsia="zh-CN"/>
        </w:rPr>
      </w:pPr>
      <w:r>
        <w:rPr>
          <w:rFonts w:hint="eastAsia"/>
          <w:b/>
          <w:bCs/>
          <w:lang w:val="en-US" w:eastAsia="zh-CN"/>
        </w:rPr>
        <w:t>Figure 2.</w:t>
      </w:r>
      <w:r>
        <w:rPr>
          <w:rFonts w:hint="eastAsia"/>
          <w:lang w:val="en-US" w:eastAsia="zh-CN"/>
        </w:rPr>
        <w:t xml:space="preserve"> the required NTN and TN coexistence scenario from downlink perspective</w:t>
      </w:r>
    </w:p>
    <w:p>
      <w:pPr>
        <w:spacing w:before="120" w:after="120"/>
        <w:rPr>
          <w:rFonts w:hint="eastAsia" w:ascii="Arial" w:hAnsi="Arial" w:cs="Arial"/>
          <w:lang w:val="en-US" w:eastAsia="zh-CN"/>
        </w:rPr>
      </w:pPr>
    </w:p>
    <w:p>
      <w:pPr>
        <w:spacing w:before="120" w:after="120"/>
        <w:rPr>
          <w:rFonts w:hint="eastAsia" w:ascii="Arial" w:hAnsi="Arial" w:cs="Arial"/>
          <w:lang w:val="en-US" w:eastAsia="zh-CN"/>
        </w:rPr>
      </w:pPr>
      <w:r>
        <w:rPr>
          <w:rFonts w:hint="eastAsia" w:ascii="Arial" w:hAnsi="Arial" w:cs="Arial"/>
          <w:lang w:val="en-US" w:eastAsia="zh-CN"/>
        </w:rPr>
        <w:t>Based on the above analysis, RAN4 agree to define some signalling mechanism in RAN2 to enable the isolation region between NTN coverage and TN coverage where NTN UE is not allowed to access in the isolation regions and the detailed signal is left for RAN2 design.</w:t>
      </w:r>
    </w:p>
    <w:p>
      <w:pPr>
        <w:spacing w:after="120"/>
        <w:jc w:val="both"/>
        <w:rPr>
          <w:rFonts w:ascii="Arial" w:hAnsi="Arial" w:cs="Arial"/>
          <w:b/>
        </w:rPr>
      </w:pPr>
    </w:p>
    <w:p>
      <w:pPr>
        <w:spacing w:after="120"/>
        <w:jc w:val="both"/>
        <w:rPr>
          <w:rFonts w:ascii="Arial" w:hAnsi="Arial" w:cs="Arial"/>
          <w:b/>
        </w:rPr>
      </w:pPr>
      <w:r>
        <w:rPr>
          <w:rFonts w:ascii="Arial" w:hAnsi="Arial" w:cs="Arial"/>
          <w:b/>
        </w:rPr>
        <w:t>2. Actions:</w:t>
      </w:r>
    </w:p>
    <w:p>
      <w:pPr>
        <w:spacing w:before="120" w:beforeLines="50" w:after="120" w:afterLines="50"/>
        <w:rPr>
          <w:rFonts w:ascii="Arial" w:hAnsi="Arial" w:cs="Arial"/>
          <w:b/>
          <w:lang w:eastAsia="ja-JP"/>
        </w:rPr>
      </w:pPr>
      <w:r>
        <w:rPr>
          <w:rFonts w:ascii="Arial" w:hAnsi="Arial" w:cs="Arial"/>
          <w:b/>
        </w:rPr>
        <w:t>To RAN2</w:t>
      </w:r>
      <w:r>
        <w:rPr>
          <w:rFonts w:ascii="Arial" w:hAnsi="Arial" w:cs="Arial"/>
          <w:b/>
          <w:lang w:eastAsia="ja-JP"/>
        </w:rPr>
        <w:t>:</w:t>
      </w:r>
    </w:p>
    <w:p>
      <w:pPr>
        <w:spacing w:before="120" w:after="120"/>
        <w:rPr>
          <w:rFonts w:hint="default" w:ascii="Arial" w:hAnsi="Arial" w:eastAsia="宋体" w:cs="Arial"/>
          <w:lang w:val="en-US" w:eastAsia="zh-CN"/>
        </w:rPr>
      </w:pPr>
      <w:r>
        <w:rPr>
          <w:rFonts w:ascii="Arial" w:hAnsi="Arial" w:eastAsia="宋体" w:cs="Arial"/>
          <w:lang w:eastAsia="zh-CN"/>
        </w:rPr>
        <w:t>RAN</w:t>
      </w:r>
      <w:r>
        <w:rPr>
          <w:rFonts w:hint="eastAsia" w:ascii="Arial" w:hAnsi="Arial" w:cs="Arial"/>
          <w:lang w:val="en-US" w:eastAsia="zh-CN"/>
        </w:rPr>
        <w:t>4</w:t>
      </w:r>
      <w:r>
        <w:rPr>
          <w:rFonts w:ascii="Arial" w:hAnsi="Arial" w:eastAsia="宋体" w:cs="Arial"/>
          <w:lang w:eastAsia="zh-CN"/>
        </w:rPr>
        <w:t xml:space="preserve"> respectfully asks RAN</w:t>
      </w:r>
      <w:r>
        <w:rPr>
          <w:rFonts w:hint="eastAsia" w:ascii="Arial" w:hAnsi="Arial" w:cs="Arial"/>
          <w:lang w:val="en-US" w:eastAsia="zh-CN"/>
        </w:rPr>
        <w:t>2</w:t>
      </w:r>
      <w:r>
        <w:rPr>
          <w:rFonts w:ascii="Arial" w:hAnsi="Arial" w:eastAsia="宋体" w:cs="Arial"/>
          <w:lang w:eastAsia="zh-CN"/>
        </w:rPr>
        <w:t xml:space="preserve"> to </w:t>
      </w:r>
      <w:r>
        <w:rPr>
          <w:rFonts w:hint="eastAsia" w:ascii="Arial" w:hAnsi="Arial" w:cs="Arial"/>
          <w:lang w:val="en-US" w:eastAsia="zh-CN"/>
        </w:rPr>
        <w:t xml:space="preserve">design some signalling mechanism to enable the isolation regions between NTN coverage and TN coverage where </w:t>
      </w:r>
    </w:p>
    <w:p>
      <w:pPr>
        <w:spacing w:before="120" w:beforeLines="50" w:after="120" w:afterLines="50"/>
        <w:rPr>
          <w:rFonts w:eastAsia="宋体"/>
          <w:sz w:val="22"/>
          <w:lang w:eastAsia="zh-CN"/>
        </w:rPr>
      </w:pPr>
    </w:p>
    <w:p>
      <w:pPr>
        <w:spacing w:after="120"/>
        <w:jc w:val="both"/>
        <w:rPr>
          <w:rFonts w:ascii="Arial" w:hAnsi="Arial" w:cs="Arial"/>
          <w:b/>
        </w:rPr>
      </w:pPr>
      <w:r>
        <w:rPr>
          <w:rFonts w:ascii="Arial" w:hAnsi="Arial" w:cs="Arial"/>
          <w:b/>
        </w:rPr>
        <w:t>3. Date of Next TSG-RAN2 Meetings:</w:t>
      </w:r>
    </w:p>
    <w:p>
      <w:pPr>
        <w:pStyle w:val="15"/>
        <w:numPr>
          <w:ilvl w:val="0"/>
          <w:numId w:val="0"/>
        </w:numPr>
        <w:ind w:leftChars="0"/>
        <w:rPr>
          <w:rFonts w:ascii="Arial" w:hAnsi="Arial" w:eastAsia="宋体" w:cs="Arial"/>
          <w:bCs w:val="0"/>
          <w:kern w:val="2"/>
          <w:sz w:val="21"/>
          <w:szCs w:val="22"/>
          <w:lang w:val="en-US" w:eastAsia="zh-CN" w:bidi="ar-SA"/>
        </w:rPr>
      </w:pPr>
      <w:r>
        <w:rPr>
          <w:rFonts w:ascii="Arial" w:hAnsi="Arial" w:eastAsia="宋体" w:cs="Arial"/>
          <w:bCs w:val="0"/>
          <w:kern w:val="2"/>
          <w:sz w:val="21"/>
          <w:szCs w:val="22"/>
          <w:lang w:val="en-US" w:eastAsia="zh-CN" w:bidi="ar-SA"/>
        </w:rPr>
        <w:t>TSG-RAN2 Meeting #11</w:t>
      </w:r>
      <w:r>
        <w:rPr>
          <w:rFonts w:hint="eastAsia" w:ascii="Arial" w:hAnsi="Arial" w:eastAsia="宋体" w:cs="Arial"/>
          <w:bCs w:val="0"/>
          <w:kern w:val="2"/>
          <w:sz w:val="21"/>
          <w:szCs w:val="22"/>
          <w:lang w:val="en-US" w:eastAsia="zh-CN" w:bidi="ar-SA"/>
        </w:rPr>
        <w:t>9</w:t>
      </w:r>
      <w:r>
        <w:rPr>
          <w:rFonts w:ascii="Arial" w:hAnsi="Arial" w:eastAsia="宋体" w:cs="Arial"/>
          <w:bCs w:val="0"/>
          <w:kern w:val="2"/>
          <w:sz w:val="21"/>
          <w:szCs w:val="22"/>
          <w:lang w:val="en-US" w:eastAsia="zh-CN" w:bidi="ar-SA"/>
        </w:rPr>
        <w:tab/>
      </w:r>
      <w:r>
        <w:rPr>
          <w:rFonts w:hint="eastAsia" w:ascii="Arial" w:hAnsi="Arial" w:eastAsia="宋体" w:cs="Arial"/>
          <w:bCs w:val="0"/>
          <w:kern w:val="2"/>
          <w:sz w:val="21"/>
          <w:szCs w:val="22"/>
          <w:lang w:val="en-US" w:eastAsia="zh-CN" w:bidi="ar-SA"/>
        </w:rPr>
        <w:t>22</w:t>
      </w:r>
      <w:r>
        <w:rPr>
          <w:rFonts w:ascii="Arial" w:hAnsi="Arial" w:eastAsia="宋体" w:cs="Arial"/>
          <w:bCs w:val="0"/>
          <w:kern w:val="2"/>
          <w:sz w:val="21"/>
          <w:szCs w:val="22"/>
          <w:lang w:val="en-US" w:eastAsia="zh-CN" w:bidi="ar-SA"/>
        </w:rPr>
        <w:t xml:space="preserve"> – 2</w:t>
      </w:r>
      <w:r>
        <w:rPr>
          <w:rFonts w:hint="eastAsia" w:ascii="Arial" w:hAnsi="Arial" w:eastAsia="宋体" w:cs="Arial"/>
          <w:bCs w:val="0"/>
          <w:kern w:val="2"/>
          <w:sz w:val="21"/>
          <w:szCs w:val="22"/>
          <w:lang w:val="en-US" w:eastAsia="zh-CN" w:bidi="ar-SA"/>
        </w:rPr>
        <w:t>6</w:t>
      </w:r>
      <w:r>
        <w:rPr>
          <w:rFonts w:ascii="Arial" w:hAnsi="Arial" w:eastAsia="宋体" w:cs="Arial"/>
          <w:bCs w:val="0"/>
          <w:kern w:val="2"/>
          <w:sz w:val="21"/>
          <w:szCs w:val="22"/>
          <w:lang w:val="en-US" w:eastAsia="zh-CN" w:bidi="ar-SA"/>
        </w:rPr>
        <w:t xml:space="preserve"> </w:t>
      </w:r>
      <w:r>
        <w:rPr>
          <w:rFonts w:hint="eastAsia" w:ascii="Arial" w:hAnsi="Arial" w:eastAsia="宋体" w:cs="Arial"/>
          <w:bCs w:val="0"/>
          <w:kern w:val="2"/>
          <w:sz w:val="21"/>
          <w:szCs w:val="22"/>
          <w:lang w:val="en-US" w:eastAsia="zh-CN" w:bidi="ar-SA"/>
        </w:rPr>
        <w:t>August</w:t>
      </w:r>
      <w:r>
        <w:rPr>
          <w:rFonts w:ascii="Arial" w:hAnsi="Arial" w:eastAsia="宋体" w:cs="Arial"/>
          <w:bCs w:val="0"/>
          <w:kern w:val="2"/>
          <w:sz w:val="21"/>
          <w:szCs w:val="22"/>
          <w:lang w:val="en-US" w:eastAsia="zh-CN" w:bidi="ar-SA"/>
        </w:rPr>
        <w:t>, 2022, Toulouse , FR</w:t>
      </w:r>
    </w:p>
    <w:p>
      <w:pPr>
        <w:pStyle w:val="20"/>
        <w:shd w:val="clear" w:color="auto" w:fill="FFFFFF"/>
        <w:spacing w:before="60" w:beforeAutospacing="0" w:after="0" w:afterAutospacing="0" w:line="300" w:lineRule="atLeast"/>
        <w:rPr>
          <w:rStyle w:val="26"/>
          <w:rFonts w:hint="eastAsia" w:ascii="Times New Roman" w:hAnsi="Times New Roman" w:eastAsia="宋体" w:cs="Times New Roman"/>
          <w:color w:val="auto"/>
          <w:sz w:val="21"/>
          <w:szCs w:val="21"/>
          <w:highlight w:val="none"/>
          <w:shd w:val="clear" w:color="auto" w:fill="FFFFFF"/>
          <w:lang w:val="en-US" w:eastAsia="zh-CN"/>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BDF3A3F"/>
    <w:multiLevelType w:val="multilevel"/>
    <w:tmpl w:val="2BDF3A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6B5B4F67"/>
    <w:multiLevelType w:val="multilevel"/>
    <w:tmpl w:val="6B5B4F67"/>
    <w:lvl w:ilvl="0" w:tentative="0">
      <w:start w:val="1"/>
      <w:numFmt w:val="decimal"/>
      <w:pStyle w:val="15"/>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0146DC0"/>
    <w:multiLevelType w:val="multilevel"/>
    <w:tmpl w:val="70146DC0"/>
    <w:lvl w:ilvl="0" w:tentative="0">
      <w:start w:val="1"/>
      <w:numFmt w:val="bullet"/>
      <w:pStyle w:val="92"/>
      <w:lvlText w:val=""/>
      <w:lvlJc w:val="left"/>
      <w:pPr>
        <w:tabs>
          <w:tab w:val="left" w:pos="6930"/>
        </w:tabs>
        <w:ind w:left="69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C33"/>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07F"/>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0FE"/>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CB0"/>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625"/>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458"/>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CA6"/>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7FB"/>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6E"/>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3D8"/>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0C6"/>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0E96"/>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779AC"/>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D7DEB"/>
    <w:rsid w:val="01104B79"/>
    <w:rsid w:val="01133912"/>
    <w:rsid w:val="011B7946"/>
    <w:rsid w:val="012C0481"/>
    <w:rsid w:val="01442D89"/>
    <w:rsid w:val="014D0206"/>
    <w:rsid w:val="0158490D"/>
    <w:rsid w:val="01594895"/>
    <w:rsid w:val="015C06BF"/>
    <w:rsid w:val="016800B9"/>
    <w:rsid w:val="01791D2E"/>
    <w:rsid w:val="01821D8F"/>
    <w:rsid w:val="01855A07"/>
    <w:rsid w:val="018620E3"/>
    <w:rsid w:val="018C2266"/>
    <w:rsid w:val="0195201D"/>
    <w:rsid w:val="019C3DA8"/>
    <w:rsid w:val="01A402CD"/>
    <w:rsid w:val="01A742A2"/>
    <w:rsid w:val="01BE34DB"/>
    <w:rsid w:val="01BE6ACE"/>
    <w:rsid w:val="01C027D4"/>
    <w:rsid w:val="01C3210A"/>
    <w:rsid w:val="01C32135"/>
    <w:rsid w:val="01CB7A2C"/>
    <w:rsid w:val="01D518FC"/>
    <w:rsid w:val="01E073E3"/>
    <w:rsid w:val="01E1598F"/>
    <w:rsid w:val="01EF469A"/>
    <w:rsid w:val="01F33D9D"/>
    <w:rsid w:val="01F60577"/>
    <w:rsid w:val="01F916A6"/>
    <w:rsid w:val="020F4070"/>
    <w:rsid w:val="021042F2"/>
    <w:rsid w:val="021D2604"/>
    <w:rsid w:val="02293A2A"/>
    <w:rsid w:val="022F66E0"/>
    <w:rsid w:val="02340A8D"/>
    <w:rsid w:val="0238292F"/>
    <w:rsid w:val="024A5CED"/>
    <w:rsid w:val="024C13AB"/>
    <w:rsid w:val="02611FFB"/>
    <w:rsid w:val="028748E0"/>
    <w:rsid w:val="02892A7A"/>
    <w:rsid w:val="028D7742"/>
    <w:rsid w:val="029342BD"/>
    <w:rsid w:val="02AF7B15"/>
    <w:rsid w:val="02B06DC0"/>
    <w:rsid w:val="02B31189"/>
    <w:rsid w:val="02C86D51"/>
    <w:rsid w:val="02CE3DD2"/>
    <w:rsid w:val="02DC6BBC"/>
    <w:rsid w:val="02E3271D"/>
    <w:rsid w:val="02E929C0"/>
    <w:rsid w:val="02F573DC"/>
    <w:rsid w:val="02F95CD1"/>
    <w:rsid w:val="030150CB"/>
    <w:rsid w:val="0314712D"/>
    <w:rsid w:val="03186045"/>
    <w:rsid w:val="031E0FAC"/>
    <w:rsid w:val="031E4C95"/>
    <w:rsid w:val="032E4DBB"/>
    <w:rsid w:val="03332CAE"/>
    <w:rsid w:val="03343BC7"/>
    <w:rsid w:val="033F306F"/>
    <w:rsid w:val="033F52A3"/>
    <w:rsid w:val="03402EB3"/>
    <w:rsid w:val="0354325C"/>
    <w:rsid w:val="035C4C68"/>
    <w:rsid w:val="03651217"/>
    <w:rsid w:val="03687ADD"/>
    <w:rsid w:val="036A231E"/>
    <w:rsid w:val="03774924"/>
    <w:rsid w:val="03822F79"/>
    <w:rsid w:val="039B69FD"/>
    <w:rsid w:val="03A32E58"/>
    <w:rsid w:val="03B83A27"/>
    <w:rsid w:val="03C0647A"/>
    <w:rsid w:val="03C93FBF"/>
    <w:rsid w:val="03D4427A"/>
    <w:rsid w:val="03E54642"/>
    <w:rsid w:val="03F05D0E"/>
    <w:rsid w:val="03F54B29"/>
    <w:rsid w:val="03F93390"/>
    <w:rsid w:val="03FF3D36"/>
    <w:rsid w:val="041875C1"/>
    <w:rsid w:val="04230B47"/>
    <w:rsid w:val="04252816"/>
    <w:rsid w:val="04317EB7"/>
    <w:rsid w:val="04376B0F"/>
    <w:rsid w:val="0444783F"/>
    <w:rsid w:val="044753DC"/>
    <w:rsid w:val="045E1DEE"/>
    <w:rsid w:val="04786ED3"/>
    <w:rsid w:val="0480012E"/>
    <w:rsid w:val="048829D4"/>
    <w:rsid w:val="04A63477"/>
    <w:rsid w:val="04B100A5"/>
    <w:rsid w:val="04CF0850"/>
    <w:rsid w:val="04D873EE"/>
    <w:rsid w:val="04F47261"/>
    <w:rsid w:val="050D6E45"/>
    <w:rsid w:val="051034CD"/>
    <w:rsid w:val="051D0272"/>
    <w:rsid w:val="051F43BC"/>
    <w:rsid w:val="051F64FC"/>
    <w:rsid w:val="05217218"/>
    <w:rsid w:val="05280DA4"/>
    <w:rsid w:val="05300964"/>
    <w:rsid w:val="053E1AC2"/>
    <w:rsid w:val="053E6A22"/>
    <w:rsid w:val="05583DC1"/>
    <w:rsid w:val="055C3488"/>
    <w:rsid w:val="057D0F78"/>
    <w:rsid w:val="05816D10"/>
    <w:rsid w:val="05930F73"/>
    <w:rsid w:val="05933468"/>
    <w:rsid w:val="05940F3F"/>
    <w:rsid w:val="05B173DC"/>
    <w:rsid w:val="05B27D07"/>
    <w:rsid w:val="05B658ED"/>
    <w:rsid w:val="05BE42A5"/>
    <w:rsid w:val="05CF7D1D"/>
    <w:rsid w:val="05D16BC6"/>
    <w:rsid w:val="05E660EA"/>
    <w:rsid w:val="05EE3B4E"/>
    <w:rsid w:val="060D249E"/>
    <w:rsid w:val="06111076"/>
    <w:rsid w:val="062672CC"/>
    <w:rsid w:val="062D742E"/>
    <w:rsid w:val="063A774D"/>
    <w:rsid w:val="063B5A74"/>
    <w:rsid w:val="06470384"/>
    <w:rsid w:val="06474EFD"/>
    <w:rsid w:val="06493A8C"/>
    <w:rsid w:val="064A35EA"/>
    <w:rsid w:val="064B521E"/>
    <w:rsid w:val="064C2727"/>
    <w:rsid w:val="06504896"/>
    <w:rsid w:val="065740AF"/>
    <w:rsid w:val="067570AB"/>
    <w:rsid w:val="06776889"/>
    <w:rsid w:val="067D28AB"/>
    <w:rsid w:val="06836FEC"/>
    <w:rsid w:val="068523FB"/>
    <w:rsid w:val="068941AB"/>
    <w:rsid w:val="068C6317"/>
    <w:rsid w:val="069B2345"/>
    <w:rsid w:val="06A32A23"/>
    <w:rsid w:val="06A55EB9"/>
    <w:rsid w:val="06AE0568"/>
    <w:rsid w:val="06B17544"/>
    <w:rsid w:val="06B548E2"/>
    <w:rsid w:val="06BA7F49"/>
    <w:rsid w:val="06BB4F9D"/>
    <w:rsid w:val="06C72EBF"/>
    <w:rsid w:val="06CC5F03"/>
    <w:rsid w:val="06D654B8"/>
    <w:rsid w:val="06F30672"/>
    <w:rsid w:val="06F35A7A"/>
    <w:rsid w:val="06F35AB6"/>
    <w:rsid w:val="06F66B05"/>
    <w:rsid w:val="06FA5E45"/>
    <w:rsid w:val="0708086F"/>
    <w:rsid w:val="071356A5"/>
    <w:rsid w:val="072B14D4"/>
    <w:rsid w:val="072B7E46"/>
    <w:rsid w:val="072F2139"/>
    <w:rsid w:val="073E61C9"/>
    <w:rsid w:val="07436058"/>
    <w:rsid w:val="074E566F"/>
    <w:rsid w:val="074F3DF9"/>
    <w:rsid w:val="075241D4"/>
    <w:rsid w:val="07537C92"/>
    <w:rsid w:val="075670A4"/>
    <w:rsid w:val="075E667A"/>
    <w:rsid w:val="07621B53"/>
    <w:rsid w:val="07660D5A"/>
    <w:rsid w:val="076F4BA4"/>
    <w:rsid w:val="077F542D"/>
    <w:rsid w:val="077F5D16"/>
    <w:rsid w:val="07817B19"/>
    <w:rsid w:val="07916BE4"/>
    <w:rsid w:val="079E17AA"/>
    <w:rsid w:val="07A2728D"/>
    <w:rsid w:val="07A27495"/>
    <w:rsid w:val="07AA3E51"/>
    <w:rsid w:val="07B41C9B"/>
    <w:rsid w:val="07B61466"/>
    <w:rsid w:val="07D835FB"/>
    <w:rsid w:val="07DD018B"/>
    <w:rsid w:val="07E014BE"/>
    <w:rsid w:val="07E85751"/>
    <w:rsid w:val="07ED18C5"/>
    <w:rsid w:val="0800676F"/>
    <w:rsid w:val="08171593"/>
    <w:rsid w:val="081C03D6"/>
    <w:rsid w:val="082E6352"/>
    <w:rsid w:val="0835476E"/>
    <w:rsid w:val="08367FC2"/>
    <w:rsid w:val="083F44C3"/>
    <w:rsid w:val="0847151A"/>
    <w:rsid w:val="084E0029"/>
    <w:rsid w:val="085C5A1D"/>
    <w:rsid w:val="085D6C7E"/>
    <w:rsid w:val="08611CAF"/>
    <w:rsid w:val="086515BA"/>
    <w:rsid w:val="0865781A"/>
    <w:rsid w:val="0866133E"/>
    <w:rsid w:val="086773FB"/>
    <w:rsid w:val="087E046C"/>
    <w:rsid w:val="08813C88"/>
    <w:rsid w:val="08942BDF"/>
    <w:rsid w:val="089852F1"/>
    <w:rsid w:val="08990610"/>
    <w:rsid w:val="089B5449"/>
    <w:rsid w:val="089D6B7D"/>
    <w:rsid w:val="08B21918"/>
    <w:rsid w:val="08B40442"/>
    <w:rsid w:val="08B94847"/>
    <w:rsid w:val="08C14001"/>
    <w:rsid w:val="08D17A87"/>
    <w:rsid w:val="08D7706B"/>
    <w:rsid w:val="08E71155"/>
    <w:rsid w:val="08F14354"/>
    <w:rsid w:val="09016732"/>
    <w:rsid w:val="090250D7"/>
    <w:rsid w:val="09127CF4"/>
    <w:rsid w:val="09136A33"/>
    <w:rsid w:val="092106BB"/>
    <w:rsid w:val="092234B5"/>
    <w:rsid w:val="092C26C9"/>
    <w:rsid w:val="092C3D68"/>
    <w:rsid w:val="094F3BEA"/>
    <w:rsid w:val="0953050B"/>
    <w:rsid w:val="09546457"/>
    <w:rsid w:val="09582472"/>
    <w:rsid w:val="096308E4"/>
    <w:rsid w:val="09654A6F"/>
    <w:rsid w:val="096913F9"/>
    <w:rsid w:val="096B649C"/>
    <w:rsid w:val="096F1D52"/>
    <w:rsid w:val="09713F26"/>
    <w:rsid w:val="0972747A"/>
    <w:rsid w:val="09796C44"/>
    <w:rsid w:val="098344BC"/>
    <w:rsid w:val="09882CDB"/>
    <w:rsid w:val="098A1B59"/>
    <w:rsid w:val="099D22A1"/>
    <w:rsid w:val="09A64698"/>
    <w:rsid w:val="09AC5074"/>
    <w:rsid w:val="09AD07F3"/>
    <w:rsid w:val="09B14A34"/>
    <w:rsid w:val="09C4652E"/>
    <w:rsid w:val="09DF06D5"/>
    <w:rsid w:val="09E0548E"/>
    <w:rsid w:val="09E14486"/>
    <w:rsid w:val="0A093274"/>
    <w:rsid w:val="0A145E2C"/>
    <w:rsid w:val="0A223227"/>
    <w:rsid w:val="0A22459E"/>
    <w:rsid w:val="0A2705E1"/>
    <w:rsid w:val="0A2A6A0B"/>
    <w:rsid w:val="0A2C66F3"/>
    <w:rsid w:val="0A312533"/>
    <w:rsid w:val="0A3A0D5D"/>
    <w:rsid w:val="0A452B83"/>
    <w:rsid w:val="0A5056C6"/>
    <w:rsid w:val="0A5060D6"/>
    <w:rsid w:val="0A5F4C2E"/>
    <w:rsid w:val="0A7200B0"/>
    <w:rsid w:val="0A771CA5"/>
    <w:rsid w:val="0A7F11A2"/>
    <w:rsid w:val="0A843B9D"/>
    <w:rsid w:val="0A8621F2"/>
    <w:rsid w:val="0A8C711B"/>
    <w:rsid w:val="0A8F1F9F"/>
    <w:rsid w:val="0A9B6BF5"/>
    <w:rsid w:val="0AB329A9"/>
    <w:rsid w:val="0ABA55D8"/>
    <w:rsid w:val="0AC47E32"/>
    <w:rsid w:val="0AC8604E"/>
    <w:rsid w:val="0ACD4245"/>
    <w:rsid w:val="0AD57FD6"/>
    <w:rsid w:val="0ADD7B55"/>
    <w:rsid w:val="0B110AC0"/>
    <w:rsid w:val="0B1157EF"/>
    <w:rsid w:val="0B1765E0"/>
    <w:rsid w:val="0B1C1D7C"/>
    <w:rsid w:val="0B22066E"/>
    <w:rsid w:val="0B2346F1"/>
    <w:rsid w:val="0B2643BE"/>
    <w:rsid w:val="0B3F2432"/>
    <w:rsid w:val="0B44304A"/>
    <w:rsid w:val="0B4D5218"/>
    <w:rsid w:val="0B622E13"/>
    <w:rsid w:val="0B651A68"/>
    <w:rsid w:val="0B660175"/>
    <w:rsid w:val="0B717521"/>
    <w:rsid w:val="0B854F19"/>
    <w:rsid w:val="0B884E90"/>
    <w:rsid w:val="0B892782"/>
    <w:rsid w:val="0BB077B6"/>
    <w:rsid w:val="0BB2460A"/>
    <w:rsid w:val="0BB41CFB"/>
    <w:rsid w:val="0BB53F3C"/>
    <w:rsid w:val="0BC739F0"/>
    <w:rsid w:val="0BDB5584"/>
    <w:rsid w:val="0BE17727"/>
    <w:rsid w:val="0BF427F9"/>
    <w:rsid w:val="0BF76EA0"/>
    <w:rsid w:val="0C0C632D"/>
    <w:rsid w:val="0C120111"/>
    <w:rsid w:val="0C1840BC"/>
    <w:rsid w:val="0C37145B"/>
    <w:rsid w:val="0C3C0AB0"/>
    <w:rsid w:val="0C3C1BB0"/>
    <w:rsid w:val="0C500646"/>
    <w:rsid w:val="0C6038EF"/>
    <w:rsid w:val="0C654C73"/>
    <w:rsid w:val="0C7038C4"/>
    <w:rsid w:val="0C751214"/>
    <w:rsid w:val="0C780533"/>
    <w:rsid w:val="0C85742B"/>
    <w:rsid w:val="0C873353"/>
    <w:rsid w:val="0C8B4B61"/>
    <w:rsid w:val="0C9643D1"/>
    <w:rsid w:val="0C9A4387"/>
    <w:rsid w:val="0C9D3F03"/>
    <w:rsid w:val="0CA44C05"/>
    <w:rsid w:val="0CA92BAC"/>
    <w:rsid w:val="0CB226AE"/>
    <w:rsid w:val="0CB322D4"/>
    <w:rsid w:val="0CB471A1"/>
    <w:rsid w:val="0CB90F2E"/>
    <w:rsid w:val="0D0213CD"/>
    <w:rsid w:val="0D04575D"/>
    <w:rsid w:val="0D0612B8"/>
    <w:rsid w:val="0D066A9C"/>
    <w:rsid w:val="0D0714BC"/>
    <w:rsid w:val="0D146E70"/>
    <w:rsid w:val="0D1A52C8"/>
    <w:rsid w:val="0D206322"/>
    <w:rsid w:val="0D2767B5"/>
    <w:rsid w:val="0D3236DC"/>
    <w:rsid w:val="0D3E327E"/>
    <w:rsid w:val="0D5638A8"/>
    <w:rsid w:val="0D565A1F"/>
    <w:rsid w:val="0D5800C7"/>
    <w:rsid w:val="0D6A353C"/>
    <w:rsid w:val="0D763FDE"/>
    <w:rsid w:val="0D904522"/>
    <w:rsid w:val="0D907F37"/>
    <w:rsid w:val="0D976014"/>
    <w:rsid w:val="0DA060E8"/>
    <w:rsid w:val="0DA46B59"/>
    <w:rsid w:val="0DC00DA8"/>
    <w:rsid w:val="0DC06E05"/>
    <w:rsid w:val="0DC15DF5"/>
    <w:rsid w:val="0DC64CCA"/>
    <w:rsid w:val="0DCE36F3"/>
    <w:rsid w:val="0DD621E4"/>
    <w:rsid w:val="0DDE1317"/>
    <w:rsid w:val="0E0313B1"/>
    <w:rsid w:val="0E0D1A47"/>
    <w:rsid w:val="0E2E7FF7"/>
    <w:rsid w:val="0E3217E8"/>
    <w:rsid w:val="0E387AA5"/>
    <w:rsid w:val="0E400D03"/>
    <w:rsid w:val="0E4C7E76"/>
    <w:rsid w:val="0E5E2B07"/>
    <w:rsid w:val="0E771E51"/>
    <w:rsid w:val="0E7A2A61"/>
    <w:rsid w:val="0E8118C0"/>
    <w:rsid w:val="0E9A17E3"/>
    <w:rsid w:val="0E9B326A"/>
    <w:rsid w:val="0E9E2B38"/>
    <w:rsid w:val="0E9F15E6"/>
    <w:rsid w:val="0EA11114"/>
    <w:rsid w:val="0EA35AC0"/>
    <w:rsid w:val="0EB34961"/>
    <w:rsid w:val="0EB9447E"/>
    <w:rsid w:val="0EBC0E8A"/>
    <w:rsid w:val="0EC468A2"/>
    <w:rsid w:val="0ECC4066"/>
    <w:rsid w:val="0ECE7C5F"/>
    <w:rsid w:val="0EF1755E"/>
    <w:rsid w:val="0EF75D05"/>
    <w:rsid w:val="0EFB52BF"/>
    <w:rsid w:val="0EFE2ACB"/>
    <w:rsid w:val="0F055653"/>
    <w:rsid w:val="0F0D240A"/>
    <w:rsid w:val="0F12247A"/>
    <w:rsid w:val="0F19794F"/>
    <w:rsid w:val="0F1D0ECD"/>
    <w:rsid w:val="0F364BC2"/>
    <w:rsid w:val="0F3A630E"/>
    <w:rsid w:val="0F3B1C05"/>
    <w:rsid w:val="0F455F85"/>
    <w:rsid w:val="0F4879C9"/>
    <w:rsid w:val="0F49564D"/>
    <w:rsid w:val="0F4D1918"/>
    <w:rsid w:val="0F5075AE"/>
    <w:rsid w:val="0F521719"/>
    <w:rsid w:val="0F584757"/>
    <w:rsid w:val="0F7C4621"/>
    <w:rsid w:val="0F7E4DAF"/>
    <w:rsid w:val="0F80243B"/>
    <w:rsid w:val="0F906B32"/>
    <w:rsid w:val="0F9771FE"/>
    <w:rsid w:val="0F9F3263"/>
    <w:rsid w:val="0FA26E81"/>
    <w:rsid w:val="0FAD0019"/>
    <w:rsid w:val="0FAD3299"/>
    <w:rsid w:val="0FB261C9"/>
    <w:rsid w:val="0FB31343"/>
    <w:rsid w:val="0FBE5F4B"/>
    <w:rsid w:val="0FC12836"/>
    <w:rsid w:val="0FC8030B"/>
    <w:rsid w:val="0FC961EA"/>
    <w:rsid w:val="0FD95333"/>
    <w:rsid w:val="0FEC6EF6"/>
    <w:rsid w:val="10045EE6"/>
    <w:rsid w:val="100523FB"/>
    <w:rsid w:val="100D7D19"/>
    <w:rsid w:val="10133944"/>
    <w:rsid w:val="10274D85"/>
    <w:rsid w:val="1035409F"/>
    <w:rsid w:val="1037078D"/>
    <w:rsid w:val="103A7991"/>
    <w:rsid w:val="10413A4E"/>
    <w:rsid w:val="10462479"/>
    <w:rsid w:val="104B2D15"/>
    <w:rsid w:val="104D3CFB"/>
    <w:rsid w:val="10591477"/>
    <w:rsid w:val="10674DB0"/>
    <w:rsid w:val="106D678B"/>
    <w:rsid w:val="107374A2"/>
    <w:rsid w:val="10746083"/>
    <w:rsid w:val="1077539F"/>
    <w:rsid w:val="10836F99"/>
    <w:rsid w:val="10886883"/>
    <w:rsid w:val="108A2129"/>
    <w:rsid w:val="10924B2D"/>
    <w:rsid w:val="10953B42"/>
    <w:rsid w:val="109A1758"/>
    <w:rsid w:val="109E67EE"/>
    <w:rsid w:val="10A83D9C"/>
    <w:rsid w:val="10AE6141"/>
    <w:rsid w:val="10B7486E"/>
    <w:rsid w:val="10CC5735"/>
    <w:rsid w:val="10D83DFF"/>
    <w:rsid w:val="10E0725D"/>
    <w:rsid w:val="10E46AB0"/>
    <w:rsid w:val="10F11C7B"/>
    <w:rsid w:val="10FA45D2"/>
    <w:rsid w:val="11013F6E"/>
    <w:rsid w:val="11024527"/>
    <w:rsid w:val="110A4489"/>
    <w:rsid w:val="11150F62"/>
    <w:rsid w:val="111A28E5"/>
    <w:rsid w:val="112F54D2"/>
    <w:rsid w:val="1133321C"/>
    <w:rsid w:val="11461F96"/>
    <w:rsid w:val="114C3CA8"/>
    <w:rsid w:val="114D3A1D"/>
    <w:rsid w:val="11576536"/>
    <w:rsid w:val="115B4FFC"/>
    <w:rsid w:val="11607F73"/>
    <w:rsid w:val="1164720A"/>
    <w:rsid w:val="11690FD9"/>
    <w:rsid w:val="117561EB"/>
    <w:rsid w:val="117824F0"/>
    <w:rsid w:val="117E2370"/>
    <w:rsid w:val="11847341"/>
    <w:rsid w:val="118625B8"/>
    <w:rsid w:val="1193030F"/>
    <w:rsid w:val="11AC7561"/>
    <w:rsid w:val="11AE0009"/>
    <w:rsid w:val="11AF439E"/>
    <w:rsid w:val="11B42796"/>
    <w:rsid w:val="11B66269"/>
    <w:rsid w:val="11BA0839"/>
    <w:rsid w:val="11BD7A30"/>
    <w:rsid w:val="11C048CC"/>
    <w:rsid w:val="11C704E7"/>
    <w:rsid w:val="11CC7C8B"/>
    <w:rsid w:val="11D56288"/>
    <w:rsid w:val="11DA5CF1"/>
    <w:rsid w:val="11F267E8"/>
    <w:rsid w:val="11F427FC"/>
    <w:rsid w:val="12026D61"/>
    <w:rsid w:val="12053B3B"/>
    <w:rsid w:val="1210456D"/>
    <w:rsid w:val="12134828"/>
    <w:rsid w:val="12143598"/>
    <w:rsid w:val="121729B6"/>
    <w:rsid w:val="122C6138"/>
    <w:rsid w:val="12396B0A"/>
    <w:rsid w:val="123A52C3"/>
    <w:rsid w:val="12566D8B"/>
    <w:rsid w:val="125A02CC"/>
    <w:rsid w:val="1276710B"/>
    <w:rsid w:val="127F2501"/>
    <w:rsid w:val="12845278"/>
    <w:rsid w:val="128E70AD"/>
    <w:rsid w:val="12943768"/>
    <w:rsid w:val="12954213"/>
    <w:rsid w:val="12956503"/>
    <w:rsid w:val="12A45BB3"/>
    <w:rsid w:val="12AC51B9"/>
    <w:rsid w:val="12B1068C"/>
    <w:rsid w:val="12BB4D48"/>
    <w:rsid w:val="12BC3C60"/>
    <w:rsid w:val="12C77089"/>
    <w:rsid w:val="12CB4026"/>
    <w:rsid w:val="12D16C9D"/>
    <w:rsid w:val="12D20ECB"/>
    <w:rsid w:val="12D93C20"/>
    <w:rsid w:val="12DD694C"/>
    <w:rsid w:val="12E82672"/>
    <w:rsid w:val="12F538D3"/>
    <w:rsid w:val="12F85F0D"/>
    <w:rsid w:val="13063D03"/>
    <w:rsid w:val="131046DE"/>
    <w:rsid w:val="131B2229"/>
    <w:rsid w:val="131B463A"/>
    <w:rsid w:val="131D12BF"/>
    <w:rsid w:val="132625C2"/>
    <w:rsid w:val="132A7435"/>
    <w:rsid w:val="133B5756"/>
    <w:rsid w:val="1346485C"/>
    <w:rsid w:val="135F5E4E"/>
    <w:rsid w:val="137F1B10"/>
    <w:rsid w:val="1382164E"/>
    <w:rsid w:val="1393715F"/>
    <w:rsid w:val="139B5866"/>
    <w:rsid w:val="13AA1928"/>
    <w:rsid w:val="13AB3B97"/>
    <w:rsid w:val="13B35E26"/>
    <w:rsid w:val="13B57CFB"/>
    <w:rsid w:val="13B66BD2"/>
    <w:rsid w:val="13B85108"/>
    <w:rsid w:val="13BF66BA"/>
    <w:rsid w:val="13C02EAF"/>
    <w:rsid w:val="13C2077B"/>
    <w:rsid w:val="13CA31CB"/>
    <w:rsid w:val="13CD1105"/>
    <w:rsid w:val="13DC36E2"/>
    <w:rsid w:val="13FE285E"/>
    <w:rsid w:val="140D529A"/>
    <w:rsid w:val="140F2791"/>
    <w:rsid w:val="14220CA7"/>
    <w:rsid w:val="144442DA"/>
    <w:rsid w:val="144C6544"/>
    <w:rsid w:val="14657444"/>
    <w:rsid w:val="14727C73"/>
    <w:rsid w:val="14812D74"/>
    <w:rsid w:val="14836C15"/>
    <w:rsid w:val="14862300"/>
    <w:rsid w:val="148C00A0"/>
    <w:rsid w:val="14912900"/>
    <w:rsid w:val="14A82A63"/>
    <w:rsid w:val="14AA0135"/>
    <w:rsid w:val="14AA1516"/>
    <w:rsid w:val="14AC358C"/>
    <w:rsid w:val="14B54B74"/>
    <w:rsid w:val="14B76730"/>
    <w:rsid w:val="14D01EE1"/>
    <w:rsid w:val="14DE753E"/>
    <w:rsid w:val="14F51028"/>
    <w:rsid w:val="14F549EC"/>
    <w:rsid w:val="14F92549"/>
    <w:rsid w:val="14FD4800"/>
    <w:rsid w:val="15157DF4"/>
    <w:rsid w:val="15183549"/>
    <w:rsid w:val="151B0462"/>
    <w:rsid w:val="151C45D8"/>
    <w:rsid w:val="15290336"/>
    <w:rsid w:val="15333A6E"/>
    <w:rsid w:val="155424D6"/>
    <w:rsid w:val="15555E7D"/>
    <w:rsid w:val="155B1745"/>
    <w:rsid w:val="155F651D"/>
    <w:rsid w:val="15655F19"/>
    <w:rsid w:val="157348EB"/>
    <w:rsid w:val="15787FE5"/>
    <w:rsid w:val="157E21FE"/>
    <w:rsid w:val="15892F0C"/>
    <w:rsid w:val="158F4337"/>
    <w:rsid w:val="15AA7A19"/>
    <w:rsid w:val="15AC5259"/>
    <w:rsid w:val="15B06B12"/>
    <w:rsid w:val="15B75136"/>
    <w:rsid w:val="15B81FC9"/>
    <w:rsid w:val="15B85832"/>
    <w:rsid w:val="15BE3D9D"/>
    <w:rsid w:val="15D4474D"/>
    <w:rsid w:val="15D7597F"/>
    <w:rsid w:val="15DA44F0"/>
    <w:rsid w:val="15E4331E"/>
    <w:rsid w:val="15F509A2"/>
    <w:rsid w:val="160C437B"/>
    <w:rsid w:val="16160429"/>
    <w:rsid w:val="161721A5"/>
    <w:rsid w:val="161C3234"/>
    <w:rsid w:val="162749AF"/>
    <w:rsid w:val="16293079"/>
    <w:rsid w:val="16336840"/>
    <w:rsid w:val="163430B4"/>
    <w:rsid w:val="1641433F"/>
    <w:rsid w:val="1648263C"/>
    <w:rsid w:val="16535F10"/>
    <w:rsid w:val="165C4863"/>
    <w:rsid w:val="16615E6B"/>
    <w:rsid w:val="1663476A"/>
    <w:rsid w:val="16640332"/>
    <w:rsid w:val="166C0D1B"/>
    <w:rsid w:val="167344C7"/>
    <w:rsid w:val="16794785"/>
    <w:rsid w:val="16853FE3"/>
    <w:rsid w:val="16936F51"/>
    <w:rsid w:val="1695742C"/>
    <w:rsid w:val="1698393C"/>
    <w:rsid w:val="169D1595"/>
    <w:rsid w:val="16A31365"/>
    <w:rsid w:val="16A65B92"/>
    <w:rsid w:val="16A9273B"/>
    <w:rsid w:val="16AD0A57"/>
    <w:rsid w:val="16B974DF"/>
    <w:rsid w:val="16BA18A0"/>
    <w:rsid w:val="16C41FCF"/>
    <w:rsid w:val="16D815C0"/>
    <w:rsid w:val="16DC6856"/>
    <w:rsid w:val="16E7220A"/>
    <w:rsid w:val="16F7773E"/>
    <w:rsid w:val="16FD7F89"/>
    <w:rsid w:val="170133DA"/>
    <w:rsid w:val="170259E1"/>
    <w:rsid w:val="17026088"/>
    <w:rsid w:val="170353FD"/>
    <w:rsid w:val="171053FC"/>
    <w:rsid w:val="17311AC7"/>
    <w:rsid w:val="17343071"/>
    <w:rsid w:val="17373322"/>
    <w:rsid w:val="17382580"/>
    <w:rsid w:val="173D6B68"/>
    <w:rsid w:val="175E4288"/>
    <w:rsid w:val="176C704A"/>
    <w:rsid w:val="17704729"/>
    <w:rsid w:val="17714DB4"/>
    <w:rsid w:val="17844C56"/>
    <w:rsid w:val="17A30F12"/>
    <w:rsid w:val="17AD715B"/>
    <w:rsid w:val="17BA48D6"/>
    <w:rsid w:val="17C535A1"/>
    <w:rsid w:val="17CD5EE0"/>
    <w:rsid w:val="17D77CA7"/>
    <w:rsid w:val="17DD34AB"/>
    <w:rsid w:val="17FC272C"/>
    <w:rsid w:val="17FE0B0A"/>
    <w:rsid w:val="17FE0C9F"/>
    <w:rsid w:val="17FF3C9D"/>
    <w:rsid w:val="180A527C"/>
    <w:rsid w:val="18235E85"/>
    <w:rsid w:val="18244813"/>
    <w:rsid w:val="18331DAD"/>
    <w:rsid w:val="186B15D6"/>
    <w:rsid w:val="186C1CC6"/>
    <w:rsid w:val="186C1DBE"/>
    <w:rsid w:val="186E738D"/>
    <w:rsid w:val="187640ED"/>
    <w:rsid w:val="187F32A2"/>
    <w:rsid w:val="18804AA7"/>
    <w:rsid w:val="188F3539"/>
    <w:rsid w:val="189517F8"/>
    <w:rsid w:val="18A16B9A"/>
    <w:rsid w:val="18AF5199"/>
    <w:rsid w:val="18B417E1"/>
    <w:rsid w:val="18CA5111"/>
    <w:rsid w:val="18D63601"/>
    <w:rsid w:val="18D979C0"/>
    <w:rsid w:val="18E56EDA"/>
    <w:rsid w:val="18E67034"/>
    <w:rsid w:val="18E872D7"/>
    <w:rsid w:val="18F3471F"/>
    <w:rsid w:val="18F931E6"/>
    <w:rsid w:val="18FA042B"/>
    <w:rsid w:val="18FE4771"/>
    <w:rsid w:val="19046384"/>
    <w:rsid w:val="191439CB"/>
    <w:rsid w:val="191A5364"/>
    <w:rsid w:val="191D1B1B"/>
    <w:rsid w:val="19200B97"/>
    <w:rsid w:val="19267DCF"/>
    <w:rsid w:val="192A5704"/>
    <w:rsid w:val="193774B0"/>
    <w:rsid w:val="194723A2"/>
    <w:rsid w:val="194A1ACB"/>
    <w:rsid w:val="19537076"/>
    <w:rsid w:val="19546B53"/>
    <w:rsid w:val="195621A4"/>
    <w:rsid w:val="19564B19"/>
    <w:rsid w:val="195E2D4F"/>
    <w:rsid w:val="195F336A"/>
    <w:rsid w:val="196A0432"/>
    <w:rsid w:val="19720BF1"/>
    <w:rsid w:val="19764535"/>
    <w:rsid w:val="198374F4"/>
    <w:rsid w:val="1989194D"/>
    <w:rsid w:val="19894C83"/>
    <w:rsid w:val="19966AAE"/>
    <w:rsid w:val="19A11933"/>
    <w:rsid w:val="19A7296F"/>
    <w:rsid w:val="19B23CBD"/>
    <w:rsid w:val="19B94DE5"/>
    <w:rsid w:val="19BB7983"/>
    <w:rsid w:val="19D76F77"/>
    <w:rsid w:val="19DE7440"/>
    <w:rsid w:val="1A045B87"/>
    <w:rsid w:val="1A506706"/>
    <w:rsid w:val="1A5F7253"/>
    <w:rsid w:val="1A725418"/>
    <w:rsid w:val="1A7A2EF9"/>
    <w:rsid w:val="1A7F4EDC"/>
    <w:rsid w:val="1A813E2C"/>
    <w:rsid w:val="1A8356BB"/>
    <w:rsid w:val="1A8E2DC8"/>
    <w:rsid w:val="1A8F2FDB"/>
    <w:rsid w:val="1A960E81"/>
    <w:rsid w:val="1A993D8C"/>
    <w:rsid w:val="1A9A0C93"/>
    <w:rsid w:val="1A9A5699"/>
    <w:rsid w:val="1A9E362C"/>
    <w:rsid w:val="1AB02AE4"/>
    <w:rsid w:val="1AB359A1"/>
    <w:rsid w:val="1AB50159"/>
    <w:rsid w:val="1AB75228"/>
    <w:rsid w:val="1ABD31B9"/>
    <w:rsid w:val="1ABF3A95"/>
    <w:rsid w:val="1AC91D4C"/>
    <w:rsid w:val="1ACE2A77"/>
    <w:rsid w:val="1AD55B02"/>
    <w:rsid w:val="1ADA2B3E"/>
    <w:rsid w:val="1ADA6731"/>
    <w:rsid w:val="1ADC2627"/>
    <w:rsid w:val="1AE34FC2"/>
    <w:rsid w:val="1AF06C95"/>
    <w:rsid w:val="1AF34AE5"/>
    <w:rsid w:val="1AF3712C"/>
    <w:rsid w:val="1AF84C8C"/>
    <w:rsid w:val="1AFE2079"/>
    <w:rsid w:val="1B00502A"/>
    <w:rsid w:val="1B0B3B20"/>
    <w:rsid w:val="1B1438A4"/>
    <w:rsid w:val="1B1613A0"/>
    <w:rsid w:val="1B2A7E36"/>
    <w:rsid w:val="1B324397"/>
    <w:rsid w:val="1B372EB9"/>
    <w:rsid w:val="1B40005E"/>
    <w:rsid w:val="1B4268B4"/>
    <w:rsid w:val="1B5D3106"/>
    <w:rsid w:val="1B63113D"/>
    <w:rsid w:val="1B7906CE"/>
    <w:rsid w:val="1B7C6ED9"/>
    <w:rsid w:val="1B7D07F3"/>
    <w:rsid w:val="1B8002ED"/>
    <w:rsid w:val="1B831B2B"/>
    <w:rsid w:val="1BA5317C"/>
    <w:rsid w:val="1BA57F07"/>
    <w:rsid w:val="1BAA3905"/>
    <w:rsid w:val="1BB01F6E"/>
    <w:rsid w:val="1BB848C7"/>
    <w:rsid w:val="1BCA7505"/>
    <w:rsid w:val="1BD91032"/>
    <w:rsid w:val="1BF768CD"/>
    <w:rsid w:val="1C0D0258"/>
    <w:rsid w:val="1C0D60C9"/>
    <w:rsid w:val="1C206F70"/>
    <w:rsid w:val="1C33796F"/>
    <w:rsid w:val="1C341EE3"/>
    <w:rsid w:val="1C441419"/>
    <w:rsid w:val="1C4A74AF"/>
    <w:rsid w:val="1C54411D"/>
    <w:rsid w:val="1C561E66"/>
    <w:rsid w:val="1C6D4144"/>
    <w:rsid w:val="1C726EC3"/>
    <w:rsid w:val="1C793EB9"/>
    <w:rsid w:val="1C807142"/>
    <w:rsid w:val="1C89041F"/>
    <w:rsid w:val="1C9A166E"/>
    <w:rsid w:val="1CA821C1"/>
    <w:rsid w:val="1CAA7318"/>
    <w:rsid w:val="1CB702E9"/>
    <w:rsid w:val="1CB90E06"/>
    <w:rsid w:val="1CBE5026"/>
    <w:rsid w:val="1CC72C9C"/>
    <w:rsid w:val="1CDA630F"/>
    <w:rsid w:val="1CE662D3"/>
    <w:rsid w:val="1CE73066"/>
    <w:rsid w:val="1CF333A5"/>
    <w:rsid w:val="1D031DDA"/>
    <w:rsid w:val="1D0B731D"/>
    <w:rsid w:val="1D1F2C04"/>
    <w:rsid w:val="1D2054C4"/>
    <w:rsid w:val="1D3630AB"/>
    <w:rsid w:val="1D364540"/>
    <w:rsid w:val="1D4969F4"/>
    <w:rsid w:val="1D4C117F"/>
    <w:rsid w:val="1D563E2F"/>
    <w:rsid w:val="1D566C1F"/>
    <w:rsid w:val="1D5A17CD"/>
    <w:rsid w:val="1D636F83"/>
    <w:rsid w:val="1D684015"/>
    <w:rsid w:val="1D6F79AF"/>
    <w:rsid w:val="1D793384"/>
    <w:rsid w:val="1D8F5B72"/>
    <w:rsid w:val="1D8F6826"/>
    <w:rsid w:val="1D934F54"/>
    <w:rsid w:val="1D9C5DA0"/>
    <w:rsid w:val="1D9C6E69"/>
    <w:rsid w:val="1D9F462B"/>
    <w:rsid w:val="1DA265B5"/>
    <w:rsid w:val="1DA3482D"/>
    <w:rsid w:val="1DA82114"/>
    <w:rsid w:val="1DC27A78"/>
    <w:rsid w:val="1DD429A1"/>
    <w:rsid w:val="1DEC45ED"/>
    <w:rsid w:val="1DF67C46"/>
    <w:rsid w:val="1E026102"/>
    <w:rsid w:val="1E0746D2"/>
    <w:rsid w:val="1E0F6A27"/>
    <w:rsid w:val="1E1C27ED"/>
    <w:rsid w:val="1E1D7E95"/>
    <w:rsid w:val="1E224747"/>
    <w:rsid w:val="1E304B88"/>
    <w:rsid w:val="1E32212F"/>
    <w:rsid w:val="1E3E02E7"/>
    <w:rsid w:val="1E4C6B44"/>
    <w:rsid w:val="1E591CDE"/>
    <w:rsid w:val="1E6703B7"/>
    <w:rsid w:val="1E680B85"/>
    <w:rsid w:val="1E7865FC"/>
    <w:rsid w:val="1E8371FD"/>
    <w:rsid w:val="1E9D4737"/>
    <w:rsid w:val="1E9D55A8"/>
    <w:rsid w:val="1EA13E87"/>
    <w:rsid w:val="1EB745A6"/>
    <w:rsid w:val="1EC11B39"/>
    <w:rsid w:val="1ED54766"/>
    <w:rsid w:val="1ED74DDC"/>
    <w:rsid w:val="1ED94E25"/>
    <w:rsid w:val="1EDA6A24"/>
    <w:rsid w:val="1EDB6C5F"/>
    <w:rsid w:val="1EE6740D"/>
    <w:rsid w:val="1EEC60E1"/>
    <w:rsid w:val="1EED24D3"/>
    <w:rsid w:val="1EF56428"/>
    <w:rsid w:val="1EFE150C"/>
    <w:rsid w:val="1F091B65"/>
    <w:rsid w:val="1F111FAE"/>
    <w:rsid w:val="1F141EF2"/>
    <w:rsid w:val="1F2E71B4"/>
    <w:rsid w:val="1F303EA7"/>
    <w:rsid w:val="1F3C6AF7"/>
    <w:rsid w:val="1F405E44"/>
    <w:rsid w:val="1F466782"/>
    <w:rsid w:val="1F4E681F"/>
    <w:rsid w:val="1F5324C1"/>
    <w:rsid w:val="1F665840"/>
    <w:rsid w:val="1F6833F6"/>
    <w:rsid w:val="1F6C1C8B"/>
    <w:rsid w:val="1F7959F4"/>
    <w:rsid w:val="1F7C19E4"/>
    <w:rsid w:val="1F83562C"/>
    <w:rsid w:val="1FAE708F"/>
    <w:rsid w:val="1FB63655"/>
    <w:rsid w:val="1FBD7AAE"/>
    <w:rsid w:val="1FBE77B2"/>
    <w:rsid w:val="1FC26AB9"/>
    <w:rsid w:val="1FC40104"/>
    <w:rsid w:val="1FDB70C3"/>
    <w:rsid w:val="1FE91483"/>
    <w:rsid w:val="1FED166B"/>
    <w:rsid w:val="1FF05FBA"/>
    <w:rsid w:val="2000119F"/>
    <w:rsid w:val="20023827"/>
    <w:rsid w:val="20107ED3"/>
    <w:rsid w:val="201359DF"/>
    <w:rsid w:val="201C304F"/>
    <w:rsid w:val="20324316"/>
    <w:rsid w:val="203B1416"/>
    <w:rsid w:val="203C2005"/>
    <w:rsid w:val="20420995"/>
    <w:rsid w:val="204541F1"/>
    <w:rsid w:val="204D7AED"/>
    <w:rsid w:val="204F595B"/>
    <w:rsid w:val="20540B1F"/>
    <w:rsid w:val="205F249E"/>
    <w:rsid w:val="206301A7"/>
    <w:rsid w:val="20642E89"/>
    <w:rsid w:val="20675936"/>
    <w:rsid w:val="206F7CD5"/>
    <w:rsid w:val="207E34E5"/>
    <w:rsid w:val="20850EC1"/>
    <w:rsid w:val="20875829"/>
    <w:rsid w:val="20934FE0"/>
    <w:rsid w:val="209A17A4"/>
    <w:rsid w:val="20A70ABE"/>
    <w:rsid w:val="20A87512"/>
    <w:rsid w:val="20B421CB"/>
    <w:rsid w:val="20B836F9"/>
    <w:rsid w:val="20C10077"/>
    <w:rsid w:val="20C261C8"/>
    <w:rsid w:val="20C6604D"/>
    <w:rsid w:val="20C96FD1"/>
    <w:rsid w:val="20D562D7"/>
    <w:rsid w:val="20DA5281"/>
    <w:rsid w:val="20E3256D"/>
    <w:rsid w:val="20E35BDE"/>
    <w:rsid w:val="20E9348D"/>
    <w:rsid w:val="20EB3474"/>
    <w:rsid w:val="20F011EF"/>
    <w:rsid w:val="20F667B9"/>
    <w:rsid w:val="20F90A4D"/>
    <w:rsid w:val="20F92773"/>
    <w:rsid w:val="20FB7568"/>
    <w:rsid w:val="210D2CDA"/>
    <w:rsid w:val="211A3959"/>
    <w:rsid w:val="212F6A59"/>
    <w:rsid w:val="21306305"/>
    <w:rsid w:val="213D54AD"/>
    <w:rsid w:val="214169BB"/>
    <w:rsid w:val="215F7E39"/>
    <w:rsid w:val="216425F9"/>
    <w:rsid w:val="21710A9E"/>
    <w:rsid w:val="217C348C"/>
    <w:rsid w:val="217C7971"/>
    <w:rsid w:val="217D44BC"/>
    <w:rsid w:val="217F4791"/>
    <w:rsid w:val="21882C07"/>
    <w:rsid w:val="21997056"/>
    <w:rsid w:val="219B2AEE"/>
    <w:rsid w:val="219D3F2A"/>
    <w:rsid w:val="219D7EB1"/>
    <w:rsid w:val="21AB4F6A"/>
    <w:rsid w:val="21AB77F7"/>
    <w:rsid w:val="21BF03BC"/>
    <w:rsid w:val="21BF480E"/>
    <w:rsid w:val="21CD0BB8"/>
    <w:rsid w:val="21D06D34"/>
    <w:rsid w:val="21D52CEC"/>
    <w:rsid w:val="21D617EF"/>
    <w:rsid w:val="21D92C24"/>
    <w:rsid w:val="21FF71D8"/>
    <w:rsid w:val="2209399D"/>
    <w:rsid w:val="22101F8E"/>
    <w:rsid w:val="2225227E"/>
    <w:rsid w:val="222D1011"/>
    <w:rsid w:val="222D7B77"/>
    <w:rsid w:val="222F6A23"/>
    <w:rsid w:val="22411661"/>
    <w:rsid w:val="224E39DE"/>
    <w:rsid w:val="224E74D0"/>
    <w:rsid w:val="22671D94"/>
    <w:rsid w:val="226E499F"/>
    <w:rsid w:val="226E6630"/>
    <w:rsid w:val="22713DD4"/>
    <w:rsid w:val="227F5037"/>
    <w:rsid w:val="228A008B"/>
    <w:rsid w:val="229A7E25"/>
    <w:rsid w:val="22A53AF5"/>
    <w:rsid w:val="22AA0362"/>
    <w:rsid w:val="22B059F5"/>
    <w:rsid w:val="22B06BDB"/>
    <w:rsid w:val="22BD504B"/>
    <w:rsid w:val="22D61781"/>
    <w:rsid w:val="22E40613"/>
    <w:rsid w:val="22E95A8D"/>
    <w:rsid w:val="22EF1DA9"/>
    <w:rsid w:val="22F017B2"/>
    <w:rsid w:val="22F97E5B"/>
    <w:rsid w:val="22FA647A"/>
    <w:rsid w:val="23042520"/>
    <w:rsid w:val="230B07F6"/>
    <w:rsid w:val="23143B37"/>
    <w:rsid w:val="231637F9"/>
    <w:rsid w:val="23172FC9"/>
    <w:rsid w:val="231A2D8D"/>
    <w:rsid w:val="23230E78"/>
    <w:rsid w:val="232332C6"/>
    <w:rsid w:val="232C27B2"/>
    <w:rsid w:val="233027B0"/>
    <w:rsid w:val="23402ED0"/>
    <w:rsid w:val="23415924"/>
    <w:rsid w:val="23572E7E"/>
    <w:rsid w:val="235924CA"/>
    <w:rsid w:val="23592D87"/>
    <w:rsid w:val="23667E6E"/>
    <w:rsid w:val="236D4F13"/>
    <w:rsid w:val="237B7D6C"/>
    <w:rsid w:val="23837B67"/>
    <w:rsid w:val="23857493"/>
    <w:rsid w:val="238755B6"/>
    <w:rsid w:val="23885214"/>
    <w:rsid w:val="238B65DE"/>
    <w:rsid w:val="239130F2"/>
    <w:rsid w:val="239B728F"/>
    <w:rsid w:val="23AE6E9E"/>
    <w:rsid w:val="23B5717C"/>
    <w:rsid w:val="23BD6F6C"/>
    <w:rsid w:val="23C62FD3"/>
    <w:rsid w:val="23C80F4A"/>
    <w:rsid w:val="23D33566"/>
    <w:rsid w:val="23D9762E"/>
    <w:rsid w:val="23E448E5"/>
    <w:rsid w:val="23E52298"/>
    <w:rsid w:val="23F06611"/>
    <w:rsid w:val="24137B5B"/>
    <w:rsid w:val="24176341"/>
    <w:rsid w:val="24211333"/>
    <w:rsid w:val="242461D7"/>
    <w:rsid w:val="242C04D9"/>
    <w:rsid w:val="242E2FF6"/>
    <w:rsid w:val="242E7ECB"/>
    <w:rsid w:val="24401E98"/>
    <w:rsid w:val="24431411"/>
    <w:rsid w:val="244B520C"/>
    <w:rsid w:val="244E4C7A"/>
    <w:rsid w:val="244F2484"/>
    <w:rsid w:val="24574CEB"/>
    <w:rsid w:val="245D41D2"/>
    <w:rsid w:val="24667266"/>
    <w:rsid w:val="2470483A"/>
    <w:rsid w:val="24731A96"/>
    <w:rsid w:val="247A5C3A"/>
    <w:rsid w:val="248654B3"/>
    <w:rsid w:val="248907B2"/>
    <w:rsid w:val="249A5E20"/>
    <w:rsid w:val="249C2676"/>
    <w:rsid w:val="249C6208"/>
    <w:rsid w:val="24A20ED0"/>
    <w:rsid w:val="24BD38BA"/>
    <w:rsid w:val="24D20A06"/>
    <w:rsid w:val="24F021B7"/>
    <w:rsid w:val="24F17428"/>
    <w:rsid w:val="24F44CB7"/>
    <w:rsid w:val="24F72775"/>
    <w:rsid w:val="25046C6C"/>
    <w:rsid w:val="251403DC"/>
    <w:rsid w:val="251E0656"/>
    <w:rsid w:val="252053F9"/>
    <w:rsid w:val="25281E6C"/>
    <w:rsid w:val="254679FC"/>
    <w:rsid w:val="25467DBB"/>
    <w:rsid w:val="25473E3C"/>
    <w:rsid w:val="254A006A"/>
    <w:rsid w:val="254C6566"/>
    <w:rsid w:val="256343AC"/>
    <w:rsid w:val="257F18B5"/>
    <w:rsid w:val="25805FF5"/>
    <w:rsid w:val="258C0528"/>
    <w:rsid w:val="258F15BB"/>
    <w:rsid w:val="259231BD"/>
    <w:rsid w:val="25A44D02"/>
    <w:rsid w:val="25A77DD4"/>
    <w:rsid w:val="25BA704D"/>
    <w:rsid w:val="25BB6C64"/>
    <w:rsid w:val="25C97301"/>
    <w:rsid w:val="25CD7961"/>
    <w:rsid w:val="25D64403"/>
    <w:rsid w:val="260A55DA"/>
    <w:rsid w:val="260B255C"/>
    <w:rsid w:val="26176770"/>
    <w:rsid w:val="26217848"/>
    <w:rsid w:val="262E20E8"/>
    <w:rsid w:val="262E34C1"/>
    <w:rsid w:val="262E624B"/>
    <w:rsid w:val="26341D4E"/>
    <w:rsid w:val="2640682F"/>
    <w:rsid w:val="26510DB8"/>
    <w:rsid w:val="26667419"/>
    <w:rsid w:val="26667EB2"/>
    <w:rsid w:val="266950B2"/>
    <w:rsid w:val="266B1FB8"/>
    <w:rsid w:val="267E518B"/>
    <w:rsid w:val="26872779"/>
    <w:rsid w:val="269B3F13"/>
    <w:rsid w:val="26A4288C"/>
    <w:rsid w:val="26BA59F2"/>
    <w:rsid w:val="26C36DE5"/>
    <w:rsid w:val="26C9404D"/>
    <w:rsid w:val="26CA7814"/>
    <w:rsid w:val="26CC2936"/>
    <w:rsid w:val="26F40E3F"/>
    <w:rsid w:val="26F40EBD"/>
    <w:rsid w:val="26FA2DE3"/>
    <w:rsid w:val="270B061D"/>
    <w:rsid w:val="27222699"/>
    <w:rsid w:val="272A1E88"/>
    <w:rsid w:val="272A3F42"/>
    <w:rsid w:val="27316E99"/>
    <w:rsid w:val="273216D6"/>
    <w:rsid w:val="273D1CBA"/>
    <w:rsid w:val="274A7B1A"/>
    <w:rsid w:val="275439E1"/>
    <w:rsid w:val="275A6554"/>
    <w:rsid w:val="276320D7"/>
    <w:rsid w:val="277D48C8"/>
    <w:rsid w:val="279408D2"/>
    <w:rsid w:val="27970434"/>
    <w:rsid w:val="279A2ED3"/>
    <w:rsid w:val="27A819A2"/>
    <w:rsid w:val="27B02558"/>
    <w:rsid w:val="27B91021"/>
    <w:rsid w:val="27C06D17"/>
    <w:rsid w:val="27E41CFB"/>
    <w:rsid w:val="27E767DD"/>
    <w:rsid w:val="27E92B28"/>
    <w:rsid w:val="27FE4240"/>
    <w:rsid w:val="280008FF"/>
    <w:rsid w:val="28050D91"/>
    <w:rsid w:val="281035C6"/>
    <w:rsid w:val="28244565"/>
    <w:rsid w:val="28255041"/>
    <w:rsid w:val="283A1E3E"/>
    <w:rsid w:val="284543A1"/>
    <w:rsid w:val="28553E1D"/>
    <w:rsid w:val="2856656E"/>
    <w:rsid w:val="28721D5A"/>
    <w:rsid w:val="28821314"/>
    <w:rsid w:val="288F7147"/>
    <w:rsid w:val="28AC4CA0"/>
    <w:rsid w:val="28AD2029"/>
    <w:rsid w:val="28B212C5"/>
    <w:rsid w:val="28B220F4"/>
    <w:rsid w:val="28C075A4"/>
    <w:rsid w:val="28DA6C60"/>
    <w:rsid w:val="28DB0A30"/>
    <w:rsid w:val="28E33B00"/>
    <w:rsid w:val="28F33F0D"/>
    <w:rsid w:val="28F95F71"/>
    <w:rsid w:val="290142F2"/>
    <w:rsid w:val="290753B9"/>
    <w:rsid w:val="291712DF"/>
    <w:rsid w:val="29192BE8"/>
    <w:rsid w:val="291C432F"/>
    <w:rsid w:val="29291CC9"/>
    <w:rsid w:val="292A375F"/>
    <w:rsid w:val="292A4482"/>
    <w:rsid w:val="292E5CA4"/>
    <w:rsid w:val="292F405F"/>
    <w:rsid w:val="29316984"/>
    <w:rsid w:val="293310A0"/>
    <w:rsid w:val="2938092A"/>
    <w:rsid w:val="293966D9"/>
    <w:rsid w:val="294602F2"/>
    <w:rsid w:val="2946144E"/>
    <w:rsid w:val="294A5BC8"/>
    <w:rsid w:val="29504176"/>
    <w:rsid w:val="29616496"/>
    <w:rsid w:val="296377E8"/>
    <w:rsid w:val="296B20A7"/>
    <w:rsid w:val="2970158A"/>
    <w:rsid w:val="297839E0"/>
    <w:rsid w:val="297D1A8B"/>
    <w:rsid w:val="29981CF5"/>
    <w:rsid w:val="29A4634A"/>
    <w:rsid w:val="29A84DD1"/>
    <w:rsid w:val="29AA2390"/>
    <w:rsid w:val="29B615EE"/>
    <w:rsid w:val="29B85AFC"/>
    <w:rsid w:val="29BB74AF"/>
    <w:rsid w:val="29BC0DD2"/>
    <w:rsid w:val="29CD2270"/>
    <w:rsid w:val="29D22D87"/>
    <w:rsid w:val="29EB2636"/>
    <w:rsid w:val="29F26903"/>
    <w:rsid w:val="2A0F7591"/>
    <w:rsid w:val="2A230A1B"/>
    <w:rsid w:val="2A3B063B"/>
    <w:rsid w:val="2A49761F"/>
    <w:rsid w:val="2A4C74B8"/>
    <w:rsid w:val="2A500712"/>
    <w:rsid w:val="2A627A42"/>
    <w:rsid w:val="2A630308"/>
    <w:rsid w:val="2A642517"/>
    <w:rsid w:val="2A676AD0"/>
    <w:rsid w:val="2A687AA6"/>
    <w:rsid w:val="2A770CC7"/>
    <w:rsid w:val="2A7B10EE"/>
    <w:rsid w:val="2A8A39B6"/>
    <w:rsid w:val="2A9472D3"/>
    <w:rsid w:val="2A95599F"/>
    <w:rsid w:val="2A9A66D4"/>
    <w:rsid w:val="2AA35524"/>
    <w:rsid w:val="2AAC36BD"/>
    <w:rsid w:val="2AB04937"/>
    <w:rsid w:val="2ABF16AB"/>
    <w:rsid w:val="2ACF5AEC"/>
    <w:rsid w:val="2AD23B34"/>
    <w:rsid w:val="2AD62AB0"/>
    <w:rsid w:val="2ADE1583"/>
    <w:rsid w:val="2AE70523"/>
    <w:rsid w:val="2AF12CDF"/>
    <w:rsid w:val="2AF62775"/>
    <w:rsid w:val="2B0726A6"/>
    <w:rsid w:val="2B1065B1"/>
    <w:rsid w:val="2B1D6F4B"/>
    <w:rsid w:val="2B1E0C15"/>
    <w:rsid w:val="2B2130C2"/>
    <w:rsid w:val="2B2D1363"/>
    <w:rsid w:val="2B2F34AE"/>
    <w:rsid w:val="2B335E16"/>
    <w:rsid w:val="2B3F29AC"/>
    <w:rsid w:val="2B403AED"/>
    <w:rsid w:val="2B42025A"/>
    <w:rsid w:val="2B450516"/>
    <w:rsid w:val="2B4526E2"/>
    <w:rsid w:val="2B467CA2"/>
    <w:rsid w:val="2B592A46"/>
    <w:rsid w:val="2B5B7165"/>
    <w:rsid w:val="2B611B55"/>
    <w:rsid w:val="2B643E23"/>
    <w:rsid w:val="2B686C09"/>
    <w:rsid w:val="2B6F5F1D"/>
    <w:rsid w:val="2B7B0C47"/>
    <w:rsid w:val="2B8B34AB"/>
    <w:rsid w:val="2B914C5E"/>
    <w:rsid w:val="2BA00A54"/>
    <w:rsid w:val="2BA2776C"/>
    <w:rsid w:val="2BB44220"/>
    <w:rsid w:val="2BB61EA7"/>
    <w:rsid w:val="2BBA6EF5"/>
    <w:rsid w:val="2BC03979"/>
    <w:rsid w:val="2BC941AF"/>
    <w:rsid w:val="2BDC02CD"/>
    <w:rsid w:val="2BEC4F7F"/>
    <w:rsid w:val="2BF01DD3"/>
    <w:rsid w:val="2BF51B27"/>
    <w:rsid w:val="2BFF1012"/>
    <w:rsid w:val="2BFF41EC"/>
    <w:rsid w:val="2C047892"/>
    <w:rsid w:val="2C11705A"/>
    <w:rsid w:val="2C1216FD"/>
    <w:rsid w:val="2C1F2C4F"/>
    <w:rsid w:val="2C264DDA"/>
    <w:rsid w:val="2C416890"/>
    <w:rsid w:val="2C4D767D"/>
    <w:rsid w:val="2C5514C6"/>
    <w:rsid w:val="2C5C2032"/>
    <w:rsid w:val="2C5F0C97"/>
    <w:rsid w:val="2C6C2CE7"/>
    <w:rsid w:val="2C72088D"/>
    <w:rsid w:val="2C7A3BB0"/>
    <w:rsid w:val="2C7D6665"/>
    <w:rsid w:val="2C865A05"/>
    <w:rsid w:val="2C8B0557"/>
    <w:rsid w:val="2C9A28D3"/>
    <w:rsid w:val="2CBC4209"/>
    <w:rsid w:val="2CDA4FDA"/>
    <w:rsid w:val="2CDC7091"/>
    <w:rsid w:val="2CE83604"/>
    <w:rsid w:val="2CFD5C64"/>
    <w:rsid w:val="2D0128E8"/>
    <w:rsid w:val="2D063D5B"/>
    <w:rsid w:val="2D0E231B"/>
    <w:rsid w:val="2D1A1A6B"/>
    <w:rsid w:val="2D1A4915"/>
    <w:rsid w:val="2D306B85"/>
    <w:rsid w:val="2D326196"/>
    <w:rsid w:val="2D400A9F"/>
    <w:rsid w:val="2D8151A4"/>
    <w:rsid w:val="2DA02E9C"/>
    <w:rsid w:val="2DA06902"/>
    <w:rsid w:val="2DA813DA"/>
    <w:rsid w:val="2DB01A22"/>
    <w:rsid w:val="2DB03C9A"/>
    <w:rsid w:val="2DBC419C"/>
    <w:rsid w:val="2DBF0C3E"/>
    <w:rsid w:val="2DBF1601"/>
    <w:rsid w:val="2DBF4C3A"/>
    <w:rsid w:val="2DC464AC"/>
    <w:rsid w:val="2DD0614E"/>
    <w:rsid w:val="2DD36CBA"/>
    <w:rsid w:val="2DD90188"/>
    <w:rsid w:val="2DF04CFF"/>
    <w:rsid w:val="2DF45914"/>
    <w:rsid w:val="2DF6091F"/>
    <w:rsid w:val="2DF61366"/>
    <w:rsid w:val="2DF77C3F"/>
    <w:rsid w:val="2DFA6574"/>
    <w:rsid w:val="2DFC5176"/>
    <w:rsid w:val="2E040A80"/>
    <w:rsid w:val="2E0704DA"/>
    <w:rsid w:val="2E095C19"/>
    <w:rsid w:val="2E0F3A78"/>
    <w:rsid w:val="2E1530A6"/>
    <w:rsid w:val="2E190FE7"/>
    <w:rsid w:val="2E2630D7"/>
    <w:rsid w:val="2E2806DD"/>
    <w:rsid w:val="2E2A4425"/>
    <w:rsid w:val="2E3A3030"/>
    <w:rsid w:val="2E46069F"/>
    <w:rsid w:val="2E480C7A"/>
    <w:rsid w:val="2E4978FD"/>
    <w:rsid w:val="2E612E16"/>
    <w:rsid w:val="2E6F4813"/>
    <w:rsid w:val="2E705752"/>
    <w:rsid w:val="2E7B65BB"/>
    <w:rsid w:val="2E8D5425"/>
    <w:rsid w:val="2E8F09A4"/>
    <w:rsid w:val="2E993370"/>
    <w:rsid w:val="2EA26ABE"/>
    <w:rsid w:val="2EA74B75"/>
    <w:rsid w:val="2EB61295"/>
    <w:rsid w:val="2EB832AE"/>
    <w:rsid w:val="2EBA67BC"/>
    <w:rsid w:val="2EBD5807"/>
    <w:rsid w:val="2ECD5F4F"/>
    <w:rsid w:val="2EDB5045"/>
    <w:rsid w:val="2EEA307E"/>
    <w:rsid w:val="2EF06AC4"/>
    <w:rsid w:val="2EF53C20"/>
    <w:rsid w:val="2EFC5DDD"/>
    <w:rsid w:val="2F002CCF"/>
    <w:rsid w:val="2F0160A3"/>
    <w:rsid w:val="2F1556AD"/>
    <w:rsid w:val="2F180C3A"/>
    <w:rsid w:val="2F18561C"/>
    <w:rsid w:val="2F1A491A"/>
    <w:rsid w:val="2F2960CC"/>
    <w:rsid w:val="2F2F3D52"/>
    <w:rsid w:val="2F3B7B8B"/>
    <w:rsid w:val="2F4530B9"/>
    <w:rsid w:val="2F4B7821"/>
    <w:rsid w:val="2F526911"/>
    <w:rsid w:val="2F6F44A5"/>
    <w:rsid w:val="2F712CF7"/>
    <w:rsid w:val="2F7E46C9"/>
    <w:rsid w:val="2F805714"/>
    <w:rsid w:val="2F8E5F5C"/>
    <w:rsid w:val="2F8E6573"/>
    <w:rsid w:val="2F9C4D27"/>
    <w:rsid w:val="2FA21231"/>
    <w:rsid w:val="2FAD4759"/>
    <w:rsid w:val="2FBE19FB"/>
    <w:rsid w:val="2FC31762"/>
    <w:rsid w:val="2FCA0967"/>
    <w:rsid w:val="2FD50A79"/>
    <w:rsid w:val="2FE91C4E"/>
    <w:rsid w:val="2FF117AD"/>
    <w:rsid w:val="2FF95633"/>
    <w:rsid w:val="2FFC0786"/>
    <w:rsid w:val="30010F70"/>
    <w:rsid w:val="300F7F13"/>
    <w:rsid w:val="30193B11"/>
    <w:rsid w:val="301E3C00"/>
    <w:rsid w:val="302B74A0"/>
    <w:rsid w:val="3045713F"/>
    <w:rsid w:val="304E30D9"/>
    <w:rsid w:val="30500A5C"/>
    <w:rsid w:val="3060436C"/>
    <w:rsid w:val="30624456"/>
    <w:rsid w:val="307273BE"/>
    <w:rsid w:val="30752E77"/>
    <w:rsid w:val="30757D3C"/>
    <w:rsid w:val="308018A6"/>
    <w:rsid w:val="30804E19"/>
    <w:rsid w:val="3090288F"/>
    <w:rsid w:val="309A51D1"/>
    <w:rsid w:val="309B0CFB"/>
    <w:rsid w:val="309E4272"/>
    <w:rsid w:val="30A41F0D"/>
    <w:rsid w:val="30AC3D1D"/>
    <w:rsid w:val="30B7307E"/>
    <w:rsid w:val="30CE645F"/>
    <w:rsid w:val="30DC45E8"/>
    <w:rsid w:val="30DD1D05"/>
    <w:rsid w:val="30DD6027"/>
    <w:rsid w:val="30DE16AB"/>
    <w:rsid w:val="30F44A95"/>
    <w:rsid w:val="30F77A98"/>
    <w:rsid w:val="30FA21D8"/>
    <w:rsid w:val="30FB510E"/>
    <w:rsid w:val="31005524"/>
    <w:rsid w:val="310F3D38"/>
    <w:rsid w:val="311D5B14"/>
    <w:rsid w:val="31217CC0"/>
    <w:rsid w:val="312D1F98"/>
    <w:rsid w:val="313A7B85"/>
    <w:rsid w:val="31454E97"/>
    <w:rsid w:val="314A019C"/>
    <w:rsid w:val="3160572E"/>
    <w:rsid w:val="31647576"/>
    <w:rsid w:val="31662C48"/>
    <w:rsid w:val="31665E5D"/>
    <w:rsid w:val="316A2090"/>
    <w:rsid w:val="316B0F75"/>
    <w:rsid w:val="316D6950"/>
    <w:rsid w:val="3171328C"/>
    <w:rsid w:val="31822EAF"/>
    <w:rsid w:val="31840D12"/>
    <w:rsid w:val="31846FF6"/>
    <w:rsid w:val="31905923"/>
    <w:rsid w:val="319268E9"/>
    <w:rsid w:val="319D4F39"/>
    <w:rsid w:val="319D6381"/>
    <w:rsid w:val="31A53A0B"/>
    <w:rsid w:val="31B23BA8"/>
    <w:rsid w:val="31C33361"/>
    <w:rsid w:val="31C51645"/>
    <w:rsid w:val="31CA5CF8"/>
    <w:rsid w:val="31CB26CD"/>
    <w:rsid w:val="31CD7940"/>
    <w:rsid w:val="31D06A52"/>
    <w:rsid w:val="31DC7091"/>
    <w:rsid w:val="31F20023"/>
    <w:rsid w:val="31FA7AEE"/>
    <w:rsid w:val="31FB60C5"/>
    <w:rsid w:val="3209100C"/>
    <w:rsid w:val="32214543"/>
    <w:rsid w:val="32226597"/>
    <w:rsid w:val="3238698E"/>
    <w:rsid w:val="324968A9"/>
    <w:rsid w:val="324D7AFE"/>
    <w:rsid w:val="324F1DD8"/>
    <w:rsid w:val="325601F1"/>
    <w:rsid w:val="325837E9"/>
    <w:rsid w:val="32666821"/>
    <w:rsid w:val="326B7BBB"/>
    <w:rsid w:val="326D01E8"/>
    <w:rsid w:val="327100DE"/>
    <w:rsid w:val="327A3DD6"/>
    <w:rsid w:val="327E6AD8"/>
    <w:rsid w:val="32946A84"/>
    <w:rsid w:val="329F3F74"/>
    <w:rsid w:val="32A54663"/>
    <w:rsid w:val="32AB1C6F"/>
    <w:rsid w:val="32B104CD"/>
    <w:rsid w:val="32BC6631"/>
    <w:rsid w:val="32C05B65"/>
    <w:rsid w:val="32C06040"/>
    <w:rsid w:val="32C6418D"/>
    <w:rsid w:val="32CC129B"/>
    <w:rsid w:val="32D14A7F"/>
    <w:rsid w:val="32D26AE6"/>
    <w:rsid w:val="32E343F6"/>
    <w:rsid w:val="32E921F0"/>
    <w:rsid w:val="32F261D3"/>
    <w:rsid w:val="32F76D5D"/>
    <w:rsid w:val="32F86450"/>
    <w:rsid w:val="330244A4"/>
    <w:rsid w:val="331B37C6"/>
    <w:rsid w:val="331C390F"/>
    <w:rsid w:val="33610DDA"/>
    <w:rsid w:val="33640017"/>
    <w:rsid w:val="33767D1F"/>
    <w:rsid w:val="33780147"/>
    <w:rsid w:val="33781549"/>
    <w:rsid w:val="337B2944"/>
    <w:rsid w:val="337F446B"/>
    <w:rsid w:val="338C53C6"/>
    <w:rsid w:val="33985879"/>
    <w:rsid w:val="339902E6"/>
    <w:rsid w:val="33A01738"/>
    <w:rsid w:val="33A156DE"/>
    <w:rsid w:val="33A20D4E"/>
    <w:rsid w:val="33B70359"/>
    <w:rsid w:val="33BA1B32"/>
    <w:rsid w:val="33D95C45"/>
    <w:rsid w:val="33E20DF0"/>
    <w:rsid w:val="34087429"/>
    <w:rsid w:val="34087D91"/>
    <w:rsid w:val="340B5F03"/>
    <w:rsid w:val="341315B5"/>
    <w:rsid w:val="34147AA7"/>
    <w:rsid w:val="342D3CE2"/>
    <w:rsid w:val="34343D6C"/>
    <w:rsid w:val="34347DC5"/>
    <w:rsid w:val="34380493"/>
    <w:rsid w:val="34463967"/>
    <w:rsid w:val="344C08D2"/>
    <w:rsid w:val="345543D1"/>
    <w:rsid w:val="345A7367"/>
    <w:rsid w:val="345D2CD0"/>
    <w:rsid w:val="3467163D"/>
    <w:rsid w:val="346A745F"/>
    <w:rsid w:val="346C0AEA"/>
    <w:rsid w:val="347F540F"/>
    <w:rsid w:val="34863322"/>
    <w:rsid w:val="348F7A0E"/>
    <w:rsid w:val="349A0B7D"/>
    <w:rsid w:val="34B12EE0"/>
    <w:rsid w:val="34B51A96"/>
    <w:rsid w:val="34BF1871"/>
    <w:rsid w:val="34C800BD"/>
    <w:rsid w:val="34D47C8A"/>
    <w:rsid w:val="34DB0CAC"/>
    <w:rsid w:val="34E7631B"/>
    <w:rsid w:val="34E972FC"/>
    <w:rsid w:val="34FF2166"/>
    <w:rsid w:val="34FF3877"/>
    <w:rsid w:val="351C075B"/>
    <w:rsid w:val="35333FF2"/>
    <w:rsid w:val="35355574"/>
    <w:rsid w:val="353C75ED"/>
    <w:rsid w:val="353D7EAD"/>
    <w:rsid w:val="353E791E"/>
    <w:rsid w:val="354008AB"/>
    <w:rsid w:val="354C7B38"/>
    <w:rsid w:val="354F28B8"/>
    <w:rsid w:val="35562F9E"/>
    <w:rsid w:val="355D687A"/>
    <w:rsid w:val="35691707"/>
    <w:rsid w:val="35744059"/>
    <w:rsid w:val="35771AC2"/>
    <w:rsid w:val="357960B4"/>
    <w:rsid w:val="358B1936"/>
    <w:rsid w:val="359C1F6C"/>
    <w:rsid w:val="35A0338E"/>
    <w:rsid w:val="35A16611"/>
    <w:rsid w:val="35A31A0A"/>
    <w:rsid w:val="35A54EB7"/>
    <w:rsid w:val="35AB5D7D"/>
    <w:rsid w:val="35B31B82"/>
    <w:rsid w:val="35C154C0"/>
    <w:rsid w:val="35C276DA"/>
    <w:rsid w:val="35C52797"/>
    <w:rsid w:val="35C7584B"/>
    <w:rsid w:val="35D31DE1"/>
    <w:rsid w:val="35DD2AEE"/>
    <w:rsid w:val="35EA6509"/>
    <w:rsid w:val="35F44E5C"/>
    <w:rsid w:val="35F45994"/>
    <w:rsid w:val="3602050E"/>
    <w:rsid w:val="36101A49"/>
    <w:rsid w:val="361A2F27"/>
    <w:rsid w:val="361C5A2D"/>
    <w:rsid w:val="36265F04"/>
    <w:rsid w:val="36297754"/>
    <w:rsid w:val="36301ED7"/>
    <w:rsid w:val="363034E0"/>
    <w:rsid w:val="363F4D43"/>
    <w:rsid w:val="365F765A"/>
    <w:rsid w:val="36627C0A"/>
    <w:rsid w:val="36693B36"/>
    <w:rsid w:val="366B0AAA"/>
    <w:rsid w:val="366D49A8"/>
    <w:rsid w:val="36752210"/>
    <w:rsid w:val="36922B55"/>
    <w:rsid w:val="36991125"/>
    <w:rsid w:val="369974B4"/>
    <w:rsid w:val="36B121C7"/>
    <w:rsid w:val="36B2486C"/>
    <w:rsid w:val="36D27C18"/>
    <w:rsid w:val="36D512A9"/>
    <w:rsid w:val="36D97A19"/>
    <w:rsid w:val="36EA7394"/>
    <w:rsid w:val="36F414F3"/>
    <w:rsid w:val="36F77503"/>
    <w:rsid w:val="36FC36E2"/>
    <w:rsid w:val="37002C93"/>
    <w:rsid w:val="370974B4"/>
    <w:rsid w:val="371023A5"/>
    <w:rsid w:val="371E6151"/>
    <w:rsid w:val="37277663"/>
    <w:rsid w:val="372A07F2"/>
    <w:rsid w:val="37306BDA"/>
    <w:rsid w:val="37357964"/>
    <w:rsid w:val="37372F70"/>
    <w:rsid w:val="37446333"/>
    <w:rsid w:val="37446A77"/>
    <w:rsid w:val="374D0B20"/>
    <w:rsid w:val="377506D0"/>
    <w:rsid w:val="378A731A"/>
    <w:rsid w:val="378E3617"/>
    <w:rsid w:val="37931A90"/>
    <w:rsid w:val="37A4082B"/>
    <w:rsid w:val="37A4627C"/>
    <w:rsid w:val="37A530D5"/>
    <w:rsid w:val="37B5292C"/>
    <w:rsid w:val="37BA6351"/>
    <w:rsid w:val="37C93B72"/>
    <w:rsid w:val="37DD662E"/>
    <w:rsid w:val="37F311D3"/>
    <w:rsid w:val="37F7242F"/>
    <w:rsid w:val="37FB6543"/>
    <w:rsid w:val="37FE5F7B"/>
    <w:rsid w:val="380579FE"/>
    <w:rsid w:val="380A2EB4"/>
    <w:rsid w:val="3819695F"/>
    <w:rsid w:val="381D5340"/>
    <w:rsid w:val="3821202A"/>
    <w:rsid w:val="382150C9"/>
    <w:rsid w:val="382372FE"/>
    <w:rsid w:val="38284CDE"/>
    <w:rsid w:val="382F19E6"/>
    <w:rsid w:val="383B2EED"/>
    <w:rsid w:val="38424938"/>
    <w:rsid w:val="384C2D57"/>
    <w:rsid w:val="385F47DB"/>
    <w:rsid w:val="386A1921"/>
    <w:rsid w:val="386B2F58"/>
    <w:rsid w:val="38876F05"/>
    <w:rsid w:val="38894DA5"/>
    <w:rsid w:val="388A65EB"/>
    <w:rsid w:val="38981AB5"/>
    <w:rsid w:val="389E5715"/>
    <w:rsid w:val="38A40C18"/>
    <w:rsid w:val="38AB306B"/>
    <w:rsid w:val="38B41AB1"/>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85268"/>
    <w:rsid w:val="394935B8"/>
    <w:rsid w:val="394C557A"/>
    <w:rsid w:val="394D7BBE"/>
    <w:rsid w:val="3952190F"/>
    <w:rsid w:val="395753F2"/>
    <w:rsid w:val="39782007"/>
    <w:rsid w:val="397E700C"/>
    <w:rsid w:val="39834074"/>
    <w:rsid w:val="39885108"/>
    <w:rsid w:val="39907940"/>
    <w:rsid w:val="399602F5"/>
    <w:rsid w:val="399B5B0D"/>
    <w:rsid w:val="399E04E3"/>
    <w:rsid w:val="39A05979"/>
    <w:rsid w:val="39AB4A43"/>
    <w:rsid w:val="39BB78F7"/>
    <w:rsid w:val="39BC428E"/>
    <w:rsid w:val="39C46549"/>
    <w:rsid w:val="39CA1A60"/>
    <w:rsid w:val="39CE0DA8"/>
    <w:rsid w:val="39D3749A"/>
    <w:rsid w:val="39DC3BC3"/>
    <w:rsid w:val="39DD2856"/>
    <w:rsid w:val="39DD49C2"/>
    <w:rsid w:val="39DD4ACE"/>
    <w:rsid w:val="39E02DD2"/>
    <w:rsid w:val="39E513A7"/>
    <w:rsid w:val="39E70CEA"/>
    <w:rsid w:val="39EC7454"/>
    <w:rsid w:val="39FD2FB3"/>
    <w:rsid w:val="3A1A155D"/>
    <w:rsid w:val="3A237175"/>
    <w:rsid w:val="3A250F67"/>
    <w:rsid w:val="3A64214E"/>
    <w:rsid w:val="3A6B2D0D"/>
    <w:rsid w:val="3A711C68"/>
    <w:rsid w:val="3A747ACB"/>
    <w:rsid w:val="3A796E46"/>
    <w:rsid w:val="3A8B3C77"/>
    <w:rsid w:val="3A9A224E"/>
    <w:rsid w:val="3A9C1F8C"/>
    <w:rsid w:val="3A9D2551"/>
    <w:rsid w:val="3AA15A8E"/>
    <w:rsid w:val="3AA97F70"/>
    <w:rsid w:val="3AB07418"/>
    <w:rsid w:val="3AB94654"/>
    <w:rsid w:val="3ABF42F5"/>
    <w:rsid w:val="3AC3080D"/>
    <w:rsid w:val="3AFD37D0"/>
    <w:rsid w:val="3B016EE9"/>
    <w:rsid w:val="3B075C4E"/>
    <w:rsid w:val="3B0E6B93"/>
    <w:rsid w:val="3B3A132E"/>
    <w:rsid w:val="3B456D7F"/>
    <w:rsid w:val="3B577731"/>
    <w:rsid w:val="3B5E261D"/>
    <w:rsid w:val="3B616FBE"/>
    <w:rsid w:val="3B683A4D"/>
    <w:rsid w:val="3B69534A"/>
    <w:rsid w:val="3B6F5B73"/>
    <w:rsid w:val="3B7B1D0B"/>
    <w:rsid w:val="3B873119"/>
    <w:rsid w:val="3B984089"/>
    <w:rsid w:val="3B9E038C"/>
    <w:rsid w:val="3BA35FC1"/>
    <w:rsid w:val="3BA566FD"/>
    <w:rsid w:val="3BA7008A"/>
    <w:rsid w:val="3BB47D9F"/>
    <w:rsid w:val="3BB743FC"/>
    <w:rsid w:val="3BB85731"/>
    <w:rsid w:val="3BBD4984"/>
    <w:rsid w:val="3BDE5F43"/>
    <w:rsid w:val="3BF10AAD"/>
    <w:rsid w:val="3C042946"/>
    <w:rsid w:val="3C064030"/>
    <w:rsid w:val="3C070D59"/>
    <w:rsid w:val="3C0E09BE"/>
    <w:rsid w:val="3C0F1954"/>
    <w:rsid w:val="3C1071B6"/>
    <w:rsid w:val="3C1E391D"/>
    <w:rsid w:val="3C2029CE"/>
    <w:rsid w:val="3C241204"/>
    <w:rsid w:val="3C294498"/>
    <w:rsid w:val="3C333216"/>
    <w:rsid w:val="3C36018F"/>
    <w:rsid w:val="3C4F7D80"/>
    <w:rsid w:val="3C64689F"/>
    <w:rsid w:val="3C740DAA"/>
    <w:rsid w:val="3C7E65EC"/>
    <w:rsid w:val="3C812838"/>
    <w:rsid w:val="3C8555A2"/>
    <w:rsid w:val="3C8B6DAF"/>
    <w:rsid w:val="3C9E411D"/>
    <w:rsid w:val="3C9E64A0"/>
    <w:rsid w:val="3CA41337"/>
    <w:rsid w:val="3CA675AD"/>
    <w:rsid w:val="3CA95FB0"/>
    <w:rsid w:val="3CAA38C3"/>
    <w:rsid w:val="3CAC1109"/>
    <w:rsid w:val="3CB36CF4"/>
    <w:rsid w:val="3CBA78F5"/>
    <w:rsid w:val="3CBF7818"/>
    <w:rsid w:val="3CC26B63"/>
    <w:rsid w:val="3CCB3A56"/>
    <w:rsid w:val="3CCC4D4D"/>
    <w:rsid w:val="3CD71E34"/>
    <w:rsid w:val="3CDE394C"/>
    <w:rsid w:val="3CE50144"/>
    <w:rsid w:val="3CE54B9F"/>
    <w:rsid w:val="3CE61B17"/>
    <w:rsid w:val="3CEB3616"/>
    <w:rsid w:val="3CF86E9C"/>
    <w:rsid w:val="3CFD37E7"/>
    <w:rsid w:val="3CFE44BF"/>
    <w:rsid w:val="3D0C1E63"/>
    <w:rsid w:val="3D1F31AF"/>
    <w:rsid w:val="3D200D7C"/>
    <w:rsid w:val="3D272F24"/>
    <w:rsid w:val="3D29222C"/>
    <w:rsid w:val="3D424FBD"/>
    <w:rsid w:val="3D47670E"/>
    <w:rsid w:val="3D58163A"/>
    <w:rsid w:val="3D5938F6"/>
    <w:rsid w:val="3D5A05E2"/>
    <w:rsid w:val="3D5C63D4"/>
    <w:rsid w:val="3D5E50E6"/>
    <w:rsid w:val="3D5F4D80"/>
    <w:rsid w:val="3D7618FA"/>
    <w:rsid w:val="3D766E42"/>
    <w:rsid w:val="3D791797"/>
    <w:rsid w:val="3D8522AA"/>
    <w:rsid w:val="3D990197"/>
    <w:rsid w:val="3D9A0655"/>
    <w:rsid w:val="3DB17297"/>
    <w:rsid w:val="3DB33C2C"/>
    <w:rsid w:val="3DBA7C02"/>
    <w:rsid w:val="3DCD6921"/>
    <w:rsid w:val="3DD36A87"/>
    <w:rsid w:val="3DD745F2"/>
    <w:rsid w:val="3DDF62B3"/>
    <w:rsid w:val="3DE37514"/>
    <w:rsid w:val="3DE548AC"/>
    <w:rsid w:val="3DE653F8"/>
    <w:rsid w:val="3DE72673"/>
    <w:rsid w:val="3DEB1255"/>
    <w:rsid w:val="3DEE3842"/>
    <w:rsid w:val="3E0448CB"/>
    <w:rsid w:val="3E073B6A"/>
    <w:rsid w:val="3E0F25EA"/>
    <w:rsid w:val="3E146F59"/>
    <w:rsid w:val="3E237BCC"/>
    <w:rsid w:val="3E255AC9"/>
    <w:rsid w:val="3E28693E"/>
    <w:rsid w:val="3E3419DC"/>
    <w:rsid w:val="3E3C3678"/>
    <w:rsid w:val="3E493A43"/>
    <w:rsid w:val="3E4B2DC3"/>
    <w:rsid w:val="3E5D67B7"/>
    <w:rsid w:val="3E604D61"/>
    <w:rsid w:val="3E623E46"/>
    <w:rsid w:val="3E7A1C88"/>
    <w:rsid w:val="3E862069"/>
    <w:rsid w:val="3E87258B"/>
    <w:rsid w:val="3E8B095A"/>
    <w:rsid w:val="3E8D66A1"/>
    <w:rsid w:val="3E8E6C82"/>
    <w:rsid w:val="3E943FDD"/>
    <w:rsid w:val="3E9A19C5"/>
    <w:rsid w:val="3E9A3250"/>
    <w:rsid w:val="3EA31F8E"/>
    <w:rsid w:val="3EAC3BDD"/>
    <w:rsid w:val="3EAF613F"/>
    <w:rsid w:val="3EB767A1"/>
    <w:rsid w:val="3EC3405D"/>
    <w:rsid w:val="3ECF0F50"/>
    <w:rsid w:val="3ECF234A"/>
    <w:rsid w:val="3ED41E72"/>
    <w:rsid w:val="3ED471B3"/>
    <w:rsid w:val="3ED671CD"/>
    <w:rsid w:val="3EE14A57"/>
    <w:rsid w:val="3EE21263"/>
    <w:rsid w:val="3EEE0B7D"/>
    <w:rsid w:val="3F0F61E5"/>
    <w:rsid w:val="3F144192"/>
    <w:rsid w:val="3F217DDA"/>
    <w:rsid w:val="3F297773"/>
    <w:rsid w:val="3F441B08"/>
    <w:rsid w:val="3F4754CE"/>
    <w:rsid w:val="3F4A4087"/>
    <w:rsid w:val="3F527DC9"/>
    <w:rsid w:val="3F5361F5"/>
    <w:rsid w:val="3F791853"/>
    <w:rsid w:val="3F952814"/>
    <w:rsid w:val="3F97030E"/>
    <w:rsid w:val="3FA41C63"/>
    <w:rsid w:val="3FAB3D87"/>
    <w:rsid w:val="3FAB41A2"/>
    <w:rsid w:val="3FAE47F6"/>
    <w:rsid w:val="3FC06AD2"/>
    <w:rsid w:val="3FD47131"/>
    <w:rsid w:val="3FDE47B3"/>
    <w:rsid w:val="3FE210C1"/>
    <w:rsid w:val="3FEB1C22"/>
    <w:rsid w:val="3FF26327"/>
    <w:rsid w:val="40036FC7"/>
    <w:rsid w:val="400A1CFC"/>
    <w:rsid w:val="400F0466"/>
    <w:rsid w:val="40187D05"/>
    <w:rsid w:val="403D2BF3"/>
    <w:rsid w:val="40400533"/>
    <w:rsid w:val="405A424E"/>
    <w:rsid w:val="406D461C"/>
    <w:rsid w:val="406F7D87"/>
    <w:rsid w:val="40825FDB"/>
    <w:rsid w:val="40907287"/>
    <w:rsid w:val="409238F2"/>
    <w:rsid w:val="40A00742"/>
    <w:rsid w:val="40AB3054"/>
    <w:rsid w:val="40BD153A"/>
    <w:rsid w:val="40C3250A"/>
    <w:rsid w:val="40CD7BD8"/>
    <w:rsid w:val="40CE24AF"/>
    <w:rsid w:val="40D07371"/>
    <w:rsid w:val="40D21ED8"/>
    <w:rsid w:val="40D72999"/>
    <w:rsid w:val="40DF3ABC"/>
    <w:rsid w:val="40E87142"/>
    <w:rsid w:val="40F00A85"/>
    <w:rsid w:val="40F1013C"/>
    <w:rsid w:val="40FB41F6"/>
    <w:rsid w:val="40FE462D"/>
    <w:rsid w:val="41037FA3"/>
    <w:rsid w:val="41053DED"/>
    <w:rsid w:val="41214663"/>
    <w:rsid w:val="412506DF"/>
    <w:rsid w:val="413B1BAB"/>
    <w:rsid w:val="414F41D7"/>
    <w:rsid w:val="414F7876"/>
    <w:rsid w:val="415A0FEF"/>
    <w:rsid w:val="41614634"/>
    <w:rsid w:val="41653B51"/>
    <w:rsid w:val="4166496B"/>
    <w:rsid w:val="416C15E7"/>
    <w:rsid w:val="416C7D0D"/>
    <w:rsid w:val="416E039C"/>
    <w:rsid w:val="416F460E"/>
    <w:rsid w:val="41800377"/>
    <w:rsid w:val="418B26ED"/>
    <w:rsid w:val="41986119"/>
    <w:rsid w:val="419C7F2D"/>
    <w:rsid w:val="419F7AF6"/>
    <w:rsid w:val="41A63744"/>
    <w:rsid w:val="41AB4431"/>
    <w:rsid w:val="41AC6BA3"/>
    <w:rsid w:val="41AD5F07"/>
    <w:rsid w:val="41B730A3"/>
    <w:rsid w:val="41B737E0"/>
    <w:rsid w:val="41B77B6D"/>
    <w:rsid w:val="41D1580B"/>
    <w:rsid w:val="41D57639"/>
    <w:rsid w:val="41DC186C"/>
    <w:rsid w:val="41DC5EDF"/>
    <w:rsid w:val="41DD05DE"/>
    <w:rsid w:val="41E4117E"/>
    <w:rsid w:val="41E62C47"/>
    <w:rsid w:val="41E77358"/>
    <w:rsid w:val="41F24303"/>
    <w:rsid w:val="41F52080"/>
    <w:rsid w:val="41F56E1D"/>
    <w:rsid w:val="41F94D40"/>
    <w:rsid w:val="420850A2"/>
    <w:rsid w:val="42116591"/>
    <w:rsid w:val="42294221"/>
    <w:rsid w:val="422E207E"/>
    <w:rsid w:val="42390E4C"/>
    <w:rsid w:val="424A277B"/>
    <w:rsid w:val="42571AE1"/>
    <w:rsid w:val="42697E79"/>
    <w:rsid w:val="42730E0D"/>
    <w:rsid w:val="427409B9"/>
    <w:rsid w:val="42831021"/>
    <w:rsid w:val="42873CB7"/>
    <w:rsid w:val="42924A03"/>
    <w:rsid w:val="429559A3"/>
    <w:rsid w:val="42994A29"/>
    <w:rsid w:val="42A87389"/>
    <w:rsid w:val="42AC75E5"/>
    <w:rsid w:val="42B1297C"/>
    <w:rsid w:val="42B1589C"/>
    <w:rsid w:val="42B63D6B"/>
    <w:rsid w:val="42BD5D48"/>
    <w:rsid w:val="42BF0823"/>
    <w:rsid w:val="42D46935"/>
    <w:rsid w:val="42D67001"/>
    <w:rsid w:val="42E06A10"/>
    <w:rsid w:val="42E20100"/>
    <w:rsid w:val="42E667B1"/>
    <w:rsid w:val="43030B49"/>
    <w:rsid w:val="43112BE5"/>
    <w:rsid w:val="431B56C6"/>
    <w:rsid w:val="431C7B04"/>
    <w:rsid w:val="432E5E21"/>
    <w:rsid w:val="433C41B8"/>
    <w:rsid w:val="433D2335"/>
    <w:rsid w:val="435006FE"/>
    <w:rsid w:val="43567C83"/>
    <w:rsid w:val="4363090C"/>
    <w:rsid w:val="43642934"/>
    <w:rsid w:val="436A2192"/>
    <w:rsid w:val="438B6310"/>
    <w:rsid w:val="439C3431"/>
    <w:rsid w:val="439D0E7C"/>
    <w:rsid w:val="43A26A83"/>
    <w:rsid w:val="43AD6EA2"/>
    <w:rsid w:val="43B77EC8"/>
    <w:rsid w:val="43B8346E"/>
    <w:rsid w:val="43B94033"/>
    <w:rsid w:val="43D5080D"/>
    <w:rsid w:val="43D67A91"/>
    <w:rsid w:val="43E21F58"/>
    <w:rsid w:val="43E35EF0"/>
    <w:rsid w:val="43F76F69"/>
    <w:rsid w:val="43FC0DB2"/>
    <w:rsid w:val="4400397B"/>
    <w:rsid w:val="44107DBD"/>
    <w:rsid w:val="4429760B"/>
    <w:rsid w:val="44315FF4"/>
    <w:rsid w:val="444109FB"/>
    <w:rsid w:val="4449152D"/>
    <w:rsid w:val="444E22EA"/>
    <w:rsid w:val="44584267"/>
    <w:rsid w:val="4468116F"/>
    <w:rsid w:val="44705173"/>
    <w:rsid w:val="44740841"/>
    <w:rsid w:val="4476407C"/>
    <w:rsid w:val="447B4A66"/>
    <w:rsid w:val="447D4136"/>
    <w:rsid w:val="448B5845"/>
    <w:rsid w:val="448C73DD"/>
    <w:rsid w:val="44907237"/>
    <w:rsid w:val="449D7968"/>
    <w:rsid w:val="44B43FD3"/>
    <w:rsid w:val="44B52792"/>
    <w:rsid w:val="44B53006"/>
    <w:rsid w:val="44BA1648"/>
    <w:rsid w:val="44BA7512"/>
    <w:rsid w:val="44BB150F"/>
    <w:rsid w:val="44C711ED"/>
    <w:rsid w:val="44C87C0F"/>
    <w:rsid w:val="44DF6F1B"/>
    <w:rsid w:val="44F04147"/>
    <w:rsid w:val="45195797"/>
    <w:rsid w:val="45253B1A"/>
    <w:rsid w:val="45331A1E"/>
    <w:rsid w:val="45385EDA"/>
    <w:rsid w:val="454042FF"/>
    <w:rsid w:val="45434650"/>
    <w:rsid w:val="45437826"/>
    <w:rsid w:val="45446179"/>
    <w:rsid w:val="454E4F75"/>
    <w:rsid w:val="454E6B7A"/>
    <w:rsid w:val="4551463D"/>
    <w:rsid w:val="45634D5D"/>
    <w:rsid w:val="456957BA"/>
    <w:rsid w:val="456C4CA4"/>
    <w:rsid w:val="457736FF"/>
    <w:rsid w:val="45790DCE"/>
    <w:rsid w:val="457E31A2"/>
    <w:rsid w:val="458B757C"/>
    <w:rsid w:val="458D3302"/>
    <w:rsid w:val="45917B8A"/>
    <w:rsid w:val="459F2381"/>
    <w:rsid w:val="45B64B84"/>
    <w:rsid w:val="45CA7DB5"/>
    <w:rsid w:val="45E526A6"/>
    <w:rsid w:val="45E826B2"/>
    <w:rsid w:val="45F4334C"/>
    <w:rsid w:val="462B5A5B"/>
    <w:rsid w:val="46466453"/>
    <w:rsid w:val="4662020E"/>
    <w:rsid w:val="4671651F"/>
    <w:rsid w:val="46787358"/>
    <w:rsid w:val="467A6815"/>
    <w:rsid w:val="468A27AC"/>
    <w:rsid w:val="46912E29"/>
    <w:rsid w:val="46981A1E"/>
    <w:rsid w:val="46987D2F"/>
    <w:rsid w:val="46995896"/>
    <w:rsid w:val="469D5DE8"/>
    <w:rsid w:val="46A35C12"/>
    <w:rsid w:val="46A55B0E"/>
    <w:rsid w:val="46A82992"/>
    <w:rsid w:val="46AC63EB"/>
    <w:rsid w:val="46AD7A54"/>
    <w:rsid w:val="46B419BE"/>
    <w:rsid w:val="46B640D3"/>
    <w:rsid w:val="46CD1F17"/>
    <w:rsid w:val="46D67289"/>
    <w:rsid w:val="46D74F48"/>
    <w:rsid w:val="46DD1D17"/>
    <w:rsid w:val="46E1018C"/>
    <w:rsid w:val="46E53AB0"/>
    <w:rsid w:val="46F37479"/>
    <w:rsid w:val="46FA7FC6"/>
    <w:rsid w:val="46FC2FE8"/>
    <w:rsid w:val="46FD1756"/>
    <w:rsid w:val="47033281"/>
    <w:rsid w:val="47065799"/>
    <w:rsid w:val="47073BE8"/>
    <w:rsid w:val="47126EA9"/>
    <w:rsid w:val="471C617D"/>
    <w:rsid w:val="47333B1B"/>
    <w:rsid w:val="47351654"/>
    <w:rsid w:val="473D0BD8"/>
    <w:rsid w:val="47457188"/>
    <w:rsid w:val="475143CE"/>
    <w:rsid w:val="47666951"/>
    <w:rsid w:val="47683159"/>
    <w:rsid w:val="47937B11"/>
    <w:rsid w:val="479D7800"/>
    <w:rsid w:val="47BC3466"/>
    <w:rsid w:val="47DD6A91"/>
    <w:rsid w:val="47EB0853"/>
    <w:rsid w:val="47EB59CE"/>
    <w:rsid w:val="47FA20F9"/>
    <w:rsid w:val="47FF3A74"/>
    <w:rsid w:val="480B7A59"/>
    <w:rsid w:val="48111DC2"/>
    <w:rsid w:val="48156BFB"/>
    <w:rsid w:val="482B39B5"/>
    <w:rsid w:val="482D350F"/>
    <w:rsid w:val="483C2A8C"/>
    <w:rsid w:val="48424FA1"/>
    <w:rsid w:val="484647AE"/>
    <w:rsid w:val="484F1901"/>
    <w:rsid w:val="485239B8"/>
    <w:rsid w:val="48594C05"/>
    <w:rsid w:val="485D5413"/>
    <w:rsid w:val="48740F16"/>
    <w:rsid w:val="487C5461"/>
    <w:rsid w:val="487F7625"/>
    <w:rsid w:val="48850976"/>
    <w:rsid w:val="488E07E5"/>
    <w:rsid w:val="48942964"/>
    <w:rsid w:val="489B4431"/>
    <w:rsid w:val="489F0E5C"/>
    <w:rsid w:val="48A36B1C"/>
    <w:rsid w:val="48A76BEF"/>
    <w:rsid w:val="48AF255D"/>
    <w:rsid w:val="48B16C29"/>
    <w:rsid w:val="48B305F1"/>
    <w:rsid w:val="48B470F8"/>
    <w:rsid w:val="48C72E35"/>
    <w:rsid w:val="48C82BD7"/>
    <w:rsid w:val="48D1158E"/>
    <w:rsid w:val="48DC218B"/>
    <w:rsid w:val="48E72527"/>
    <w:rsid w:val="48EE64D4"/>
    <w:rsid w:val="48F447F8"/>
    <w:rsid w:val="49075A63"/>
    <w:rsid w:val="49093134"/>
    <w:rsid w:val="490933FA"/>
    <w:rsid w:val="49224F55"/>
    <w:rsid w:val="49241D45"/>
    <w:rsid w:val="492509DE"/>
    <w:rsid w:val="49254DF0"/>
    <w:rsid w:val="492F717C"/>
    <w:rsid w:val="4935171C"/>
    <w:rsid w:val="49366254"/>
    <w:rsid w:val="493860D5"/>
    <w:rsid w:val="49432B91"/>
    <w:rsid w:val="494502AA"/>
    <w:rsid w:val="4947469C"/>
    <w:rsid w:val="494826D6"/>
    <w:rsid w:val="495C3370"/>
    <w:rsid w:val="496409A2"/>
    <w:rsid w:val="49707759"/>
    <w:rsid w:val="49715E0F"/>
    <w:rsid w:val="49721050"/>
    <w:rsid w:val="49867C12"/>
    <w:rsid w:val="49927DFC"/>
    <w:rsid w:val="4995554E"/>
    <w:rsid w:val="499B3646"/>
    <w:rsid w:val="499C3504"/>
    <w:rsid w:val="49A43EE6"/>
    <w:rsid w:val="49AB3DB8"/>
    <w:rsid w:val="49AC365C"/>
    <w:rsid w:val="49B4201A"/>
    <w:rsid w:val="49B62481"/>
    <w:rsid w:val="49C20C6C"/>
    <w:rsid w:val="49C65DE5"/>
    <w:rsid w:val="49CE0C89"/>
    <w:rsid w:val="49D93C20"/>
    <w:rsid w:val="49DA3FD3"/>
    <w:rsid w:val="49E1390C"/>
    <w:rsid w:val="4A0573EC"/>
    <w:rsid w:val="4A06116C"/>
    <w:rsid w:val="4A070E8E"/>
    <w:rsid w:val="4A09499E"/>
    <w:rsid w:val="4A1965BE"/>
    <w:rsid w:val="4A1C20F7"/>
    <w:rsid w:val="4A2C2719"/>
    <w:rsid w:val="4A3569A7"/>
    <w:rsid w:val="4A381BA6"/>
    <w:rsid w:val="4A3926E2"/>
    <w:rsid w:val="4A4172CE"/>
    <w:rsid w:val="4A4247B0"/>
    <w:rsid w:val="4A43236C"/>
    <w:rsid w:val="4A4A176A"/>
    <w:rsid w:val="4A62094E"/>
    <w:rsid w:val="4A6C0FC7"/>
    <w:rsid w:val="4A6D7FF3"/>
    <w:rsid w:val="4A71786A"/>
    <w:rsid w:val="4A7413BF"/>
    <w:rsid w:val="4A7B088E"/>
    <w:rsid w:val="4A7D09F3"/>
    <w:rsid w:val="4A840EFE"/>
    <w:rsid w:val="4A894C91"/>
    <w:rsid w:val="4A9369E2"/>
    <w:rsid w:val="4A9C07B1"/>
    <w:rsid w:val="4AA74C25"/>
    <w:rsid w:val="4AA75186"/>
    <w:rsid w:val="4AAE6C76"/>
    <w:rsid w:val="4AC4256B"/>
    <w:rsid w:val="4AC860DD"/>
    <w:rsid w:val="4AD162A8"/>
    <w:rsid w:val="4AD25C89"/>
    <w:rsid w:val="4AD768C6"/>
    <w:rsid w:val="4AF902F5"/>
    <w:rsid w:val="4AF94D42"/>
    <w:rsid w:val="4AFB33B6"/>
    <w:rsid w:val="4B0549C2"/>
    <w:rsid w:val="4B264838"/>
    <w:rsid w:val="4B376E2E"/>
    <w:rsid w:val="4B385AE2"/>
    <w:rsid w:val="4B53122B"/>
    <w:rsid w:val="4B5E4CBA"/>
    <w:rsid w:val="4B705844"/>
    <w:rsid w:val="4B7224D0"/>
    <w:rsid w:val="4B7A3C96"/>
    <w:rsid w:val="4B7D4F5D"/>
    <w:rsid w:val="4B82716C"/>
    <w:rsid w:val="4B844D31"/>
    <w:rsid w:val="4B8A2918"/>
    <w:rsid w:val="4B901807"/>
    <w:rsid w:val="4B9B25E4"/>
    <w:rsid w:val="4BA05B67"/>
    <w:rsid w:val="4BA07DBF"/>
    <w:rsid w:val="4BAC3EAE"/>
    <w:rsid w:val="4BAD4CA2"/>
    <w:rsid w:val="4BC456EF"/>
    <w:rsid w:val="4BC647B0"/>
    <w:rsid w:val="4BDA2A2C"/>
    <w:rsid w:val="4BDF4B49"/>
    <w:rsid w:val="4BE57E16"/>
    <w:rsid w:val="4BE819D0"/>
    <w:rsid w:val="4BE8649D"/>
    <w:rsid w:val="4C001D79"/>
    <w:rsid w:val="4C0236B4"/>
    <w:rsid w:val="4C122D6B"/>
    <w:rsid w:val="4C1833DA"/>
    <w:rsid w:val="4C192F75"/>
    <w:rsid w:val="4C1D3131"/>
    <w:rsid w:val="4C1D6A5D"/>
    <w:rsid w:val="4C1E085C"/>
    <w:rsid w:val="4C20259F"/>
    <w:rsid w:val="4C212D98"/>
    <w:rsid w:val="4C312ECF"/>
    <w:rsid w:val="4C422CA7"/>
    <w:rsid w:val="4C437B25"/>
    <w:rsid w:val="4C4750DE"/>
    <w:rsid w:val="4C5035A1"/>
    <w:rsid w:val="4C56680B"/>
    <w:rsid w:val="4C5F0B5D"/>
    <w:rsid w:val="4C64471A"/>
    <w:rsid w:val="4C6C2FE2"/>
    <w:rsid w:val="4C77619E"/>
    <w:rsid w:val="4C830E40"/>
    <w:rsid w:val="4C860543"/>
    <w:rsid w:val="4C8E48D8"/>
    <w:rsid w:val="4C974009"/>
    <w:rsid w:val="4CC17C3E"/>
    <w:rsid w:val="4CC42462"/>
    <w:rsid w:val="4CCB3651"/>
    <w:rsid w:val="4CCD5921"/>
    <w:rsid w:val="4CD550D5"/>
    <w:rsid w:val="4CDA21DD"/>
    <w:rsid w:val="4CDC0856"/>
    <w:rsid w:val="4CF04CFC"/>
    <w:rsid w:val="4CF26BC3"/>
    <w:rsid w:val="4CFA4E5A"/>
    <w:rsid w:val="4CFB51DB"/>
    <w:rsid w:val="4D0F1680"/>
    <w:rsid w:val="4D1505D9"/>
    <w:rsid w:val="4D1D6CA0"/>
    <w:rsid w:val="4D2146B0"/>
    <w:rsid w:val="4D2609C6"/>
    <w:rsid w:val="4D2F5C2A"/>
    <w:rsid w:val="4D33448A"/>
    <w:rsid w:val="4D3F4840"/>
    <w:rsid w:val="4D410392"/>
    <w:rsid w:val="4D427BBD"/>
    <w:rsid w:val="4D557851"/>
    <w:rsid w:val="4D570519"/>
    <w:rsid w:val="4D5C5732"/>
    <w:rsid w:val="4D614882"/>
    <w:rsid w:val="4D656800"/>
    <w:rsid w:val="4D6F12A8"/>
    <w:rsid w:val="4D705706"/>
    <w:rsid w:val="4D757CFB"/>
    <w:rsid w:val="4D8D11C1"/>
    <w:rsid w:val="4D8E4AB5"/>
    <w:rsid w:val="4D922BF5"/>
    <w:rsid w:val="4D9B5A29"/>
    <w:rsid w:val="4DA43359"/>
    <w:rsid w:val="4DA53BC8"/>
    <w:rsid w:val="4DA54A15"/>
    <w:rsid w:val="4DB41824"/>
    <w:rsid w:val="4DC31B92"/>
    <w:rsid w:val="4DD776ED"/>
    <w:rsid w:val="4DDF6E13"/>
    <w:rsid w:val="4DE00666"/>
    <w:rsid w:val="4DE552CA"/>
    <w:rsid w:val="4DE60E50"/>
    <w:rsid w:val="4DF20FEE"/>
    <w:rsid w:val="4DFE4BE0"/>
    <w:rsid w:val="4E0939E5"/>
    <w:rsid w:val="4E176DF3"/>
    <w:rsid w:val="4E1A2F68"/>
    <w:rsid w:val="4E1A650F"/>
    <w:rsid w:val="4E210A5C"/>
    <w:rsid w:val="4E22792D"/>
    <w:rsid w:val="4E3A2C21"/>
    <w:rsid w:val="4E4475F5"/>
    <w:rsid w:val="4E587463"/>
    <w:rsid w:val="4E68543B"/>
    <w:rsid w:val="4E694E99"/>
    <w:rsid w:val="4E795FE9"/>
    <w:rsid w:val="4E797F06"/>
    <w:rsid w:val="4E904370"/>
    <w:rsid w:val="4E9142C3"/>
    <w:rsid w:val="4E9A3CBD"/>
    <w:rsid w:val="4E9E03B6"/>
    <w:rsid w:val="4E9F5613"/>
    <w:rsid w:val="4EAC241A"/>
    <w:rsid w:val="4EB67945"/>
    <w:rsid w:val="4ECA2CB3"/>
    <w:rsid w:val="4ED8460B"/>
    <w:rsid w:val="4EE61722"/>
    <w:rsid w:val="4EE86D63"/>
    <w:rsid w:val="4EEC3838"/>
    <w:rsid w:val="4EEE11A3"/>
    <w:rsid w:val="4EFE4EC2"/>
    <w:rsid w:val="4EFF3444"/>
    <w:rsid w:val="4F0441E5"/>
    <w:rsid w:val="4F13573C"/>
    <w:rsid w:val="4F155F27"/>
    <w:rsid w:val="4F1A238F"/>
    <w:rsid w:val="4F266665"/>
    <w:rsid w:val="4F3D4163"/>
    <w:rsid w:val="4F4606DA"/>
    <w:rsid w:val="4F4E3CEA"/>
    <w:rsid w:val="4F50208E"/>
    <w:rsid w:val="4F6E5D63"/>
    <w:rsid w:val="4F7278C6"/>
    <w:rsid w:val="4F7B1F45"/>
    <w:rsid w:val="4F823D55"/>
    <w:rsid w:val="4F85034E"/>
    <w:rsid w:val="4F983E33"/>
    <w:rsid w:val="4F9971FC"/>
    <w:rsid w:val="4F9B5328"/>
    <w:rsid w:val="4FAB3627"/>
    <w:rsid w:val="4FB36E2C"/>
    <w:rsid w:val="4FB40C2C"/>
    <w:rsid w:val="4FBA52BE"/>
    <w:rsid w:val="4FBB5569"/>
    <w:rsid w:val="4FBF1E32"/>
    <w:rsid w:val="4FC803AA"/>
    <w:rsid w:val="4FD365FC"/>
    <w:rsid w:val="4FD4321B"/>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945736"/>
    <w:rsid w:val="50AF117A"/>
    <w:rsid w:val="50B139BD"/>
    <w:rsid w:val="50B7364B"/>
    <w:rsid w:val="50BD1498"/>
    <w:rsid w:val="50BE1B1D"/>
    <w:rsid w:val="50C51F05"/>
    <w:rsid w:val="50C65E30"/>
    <w:rsid w:val="50D07D02"/>
    <w:rsid w:val="50D228CF"/>
    <w:rsid w:val="50E63519"/>
    <w:rsid w:val="50ED76FB"/>
    <w:rsid w:val="51187610"/>
    <w:rsid w:val="5132597F"/>
    <w:rsid w:val="513753B5"/>
    <w:rsid w:val="51375EB3"/>
    <w:rsid w:val="513853CC"/>
    <w:rsid w:val="51392D77"/>
    <w:rsid w:val="513F081D"/>
    <w:rsid w:val="51424283"/>
    <w:rsid w:val="514C1E16"/>
    <w:rsid w:val="515A64E3"/>
    <w:rsid w:val="515C30A6"/>
    <w:rsid w:val="5161698E"/>
    <w:rsid w:val="517F00BC"/>
    <w:rsid w:val="5195533B"/>
    <w:rsid w:val="519C2DF2"/>
    <w:rsid w:val="519D2F03"/>
    <w:rsid w:val="51A05E83"/>
    <w:rsid w:val="51AB4EBD"/>
    <w:rsid w:val="51B80168"/>
    <w:rsid w:val="51BE2EAE"/>
    <w:rsid w:val="51D85D73"/>
    <w:rsid w:val="51DA5890"/>
    <w:rsid w:val="51DD4DBF"/>
    <w:rsid w:val="51EE7B3E"/>
    <w:rsid w:val="51EF7A2E"/>
    <w:rsid w:val="51F96848"/>
    <w:rsid w:val="52073487"/>
    <w:rsid w:val="521C5D43"/>
    <w:rsid w:val="521D7ED7"/>
    <w:rsid w:val="5239194F"/>
    <w:rsid w:val="524A48C7"/>
    <w:rsid w:val="52612620"/>
    <w:rsid w:val="526A546C"/>
    <w:rsid w:val="52790FD9"/>
    <w:rsid w:val="528C5E23"/>
    <w:rsid w:val="52911438"/>
    <w:rsid w:val="529F0D9B"/>
    <w:rsid w:val="52A97087"/>
    <w:rsid w:val="52BA65B8"/>
    <w:rsid w:val="52C11C6E"/>
    <w:rsid w:val="52CA3D8F"/>
    <w:rsid w:val="52CD21D8"/>
    <w:rsid w:val="52CF0A4A"/>
    <w:rsid w:val="52DD5B35"/>
    <w:rsid w:val="52DF42EC"/>
    <w:rsid w:val="52E427EA"/>
    <w:rsid w:val="52EF0051"/>
    <w:rsid w:val="52FC1C88"/>
    <w:rsid w:val="53112C1D"/>
    <w:rsid w:val="53155215"/>
    <w:rsid w:val="531621BA"/>
    <w:rsid w:val="531D0F10"/>
    <w:rsid w:val="533165F9"/>
    <w:rsid w:val="53394900"/>
    <w:rsid w:val="533E0346"/>
    <w:rsid w:val="534246C3"/>
    <w:rsid w:val="53495ACD"/>
    <w:rsid w:val="535337EC"/>
    <w:rsid w:val="53556970"/>
    <w:rsid w:val="5366542B"/>
    <w:rsid w:val="536D41AE"/>
    <w:rsid w:val="536F7573"/>
    <w:rsid w:val="53763151"/>
    <w:rsid w:val="53794E20"/>
    <w:rsid w:val="53797289"/>
    <w:rsid w:val="53896B6B"/>
    <w:rsid w:val="5391597D"/>
    <w:rsid w:val="53943B08"/>
    <w:rsid w:val="53947DE7"/>
    <w:rsid w:val="53A27D95"/>
    <w:rsid w:val="53A34393"/>
    <w:rsid w:val="53A911A1"/>
    <w:rsid w:val="53BD799B"/>
    <w:rsid w:val="53DB35A3"/>
    <w:rsid w:val="53DC2808"/>
    <w:rsid w:val="53E07B00"/>
    <w:rsid w:val="53E6451A"/>
    <w:rsid w:val="54002BFD"/>
    <w:rsid w:val="540532B7"/>
    <w:rsid w:val="5428178C"/>
    <w:rsid w:val="542A3FEF"/>
    <w:rsid w:val="542A5504"/>
    <w:rsid w:val="542F7A60"/>
    <w:rsid w:val="54550067"/>
    <w:rsid w:val="54580F5A"/>
    <w:rsid w:val="5478695B"/>
    <w:rsid w:val="547D0A6C"/>
    <w:rsid w:val="54860559"/>
    <w:rsid w:val="548810E8"/>
    <w:rsid w:val="549438A5"/>
    <w:rsid w:val="549C6534"/>
    <w:rsid w:val="54A14490"/>
    <w:rsid w:val="54AB36A1"/>
    <w:rsid w:val="54B171C4"/>
    <w:rsid w:val="54B61DA8"/>
    <w:rsid w:val="54B62C99"/>
    <w:rsid w:val="54BE6DA1"/>
    <w:rsid w:val="54D01102"/>
    <w:rsid w:val="54D90CB8"/>
    <w:rsid w:val="54DF688B"/>
    <w:rsid w:val="54E95643"/>
    <w:rsid w:val="550E6C32"/>
    <w:rsid w:val="551C2E90"/>
    <w:rsid w:val="55204034"/>
    <w:rsid w:val="55243C7D"/>
    <w:rsid w:val="554E0863"/>
    <w:rsid w:val="555737A6"/>
    <w:rsid w:val="55611FED"/>
    <w:rsid w:val="556C1CC4"/>
    <w:rsid w:val="55712540"/>
    <w:rsid w:val="5577741D"/>
    <w:rsid w:val="558126EC"/>
    <w:rsid w:val="55864383"/>
    <w:rsid w:val="55883669"/>
    <w:rsid w:val="558A44CE"/>
    <w:rsid w:val="558D4713"/>
    <w:rsid w:val="559537DA"/>
    <w:rsid w:val="559B1C17"/>
    <w:rsid w:val="55B403DD"/>
    <w:rsid w:val="55BE2483"/>
    <w:rsid w:val="55C0140E"/>
    <w:rsid w:val="55CD40AD"/>
    <w:rsid w:val="55CF48E7"/>
    <w:rsid w:val="55D0342A"/>
    <w:rsid w:val="55D13A76"/>
    <w:rsid w:val="55D849A1"/>
    <w:rsid w:val="55DC69AF"/>
    <w:rsid w:val="55E31A15"/>
    <w:rsid w:val="55E5367A"/>
    <w:rsid w:val="55F025E6"/>
    <w:rsid w:val="56014A73"/>
    <w:rsid w:val="561B2238"/>
    <w:rsid w:val="56214A7B"/>
    <w:rsid w:val="562A3D1A"/>
    <w:rsid w:val="562E1F90"/>
    <w:rsid w:val="56373380"/>
    <w:rsid w:val="563B616D"/>
    <w:rsid w:val="56436207"/>
    <w:rsid w:val="564958BD"/>
    <w:rsid w:val="56496F66"/>
    <w:rsid w:val="56541DF8"/>
    <w:rsid w:val="566510CB"/>
    <w:rsid w:val="567215D4"/>
    <w:rsid w:val="567941C7"/>
    <w:rsid w:val="567A6CC0"/>
    <w:rsid w:val="56895622"/>
    <w:rsid w:val="568D0940"/>
    <w:rsid w:val="56927DA4"/>
    <w:rsid w:val="56940C0C"/>
    <w:rsid w:val="56A04928"/>
    <w:rsid w:val="56A50EBB"/>
    <w:rsid w:val="56AD339E"/>
    <w:rsid w:val="56AE6BB2"/>
    <w:rsid w:val="56B16CBD"/>
    <w:rsid w:val="56B96F66"/>
    <w:rsid w:val="56BE75C0"/>
    <w:rsid w:val="56C71CAD"/>
    <w:rsid w:val="56CE5F20"/>
    <w:rsid w:val="56DA3EBA"/>
    <w:rsid w:val="56E33383"/>
    <w:rsid w:val="56ED5E03"/>
    <w:rsid w:val="56FB0134"/>
    <w:rsid w:val="5700187A"/>
    <w:rsid w:val="570036AB"/>
    <w:rsid w:val="57012351"/>
    <w:rsid w:val="57095761"/>
    <w:rsid w:val="5725716C"/>
    <w:rsid w:val="57292292"/>
    <w:rsid w:val="572E7E52"/>
    <w:rsid w:val="573403E6"/>
    <w:rsid w:val="573459F0"/>
    <w:rsid w:val="573B3910"/>
    <w:rsid w:val="574460A0"/>
    <w:rsid w:val="57484376"/>
    <w:rsid w:val="574B4B12"/>
    <w:rsid w:val="575425F9"/>
    <w:rsid w:val="57685F5D"/>
    <w:rsid w:val="57702374"/>
    <w:rsid w:val="57780ED4"/>
    <w:rsid w:val="57991826"/>
    <w:rsid w:val="579A7C07"/>
    <w:rsid w:val="579C1F37"/>
    <w:rsid w:val="57A46FEE"/>
    <w:rsid w:val="57B02763"/>
    <w:rsid w:val="57B6547E"/>
    <w:rsid w:val="57BE79A7"/>
    <w:rsid w:val="57C378EB"/>
    <w:rsid w:val="57D01AAC"/>
    <w:rsid w:val="57DF6500"/>
    <w:rsid w:val="57E73B61"/>
    <w:rsid w:val="57F01737"/>
    <w:rsid w:val="57F44115"/>
    <w:rsid w:val="57F73696"/>
    <w:rsid w:val="5803475B"/>
    <w:rsid w:val="5808234E"/>
    <w:rsid w:val="58091866"/>
    <w:rsid w:val="580A6FBE"/>
    <w:rsid w:val="580F5BC1"/>
    <w:rsid w:val="5822786C"/>
    <w:rsid w:val="58243371"/>
    <w:rsid w:val="582D232B"/>
    <w:rsid w:val="5835010B"/>
    <w:rsid w:val="58386483"/>
    <w:rsid w:val="5849546E"/>
    <w:rsid w:val="58590DD2"/>
    <w:rsid w:val="586E1447"/>
    <w:rsid w:val="5878285F"/>
    <w:rsid w:val="587C3C9E"/>
    <w:rsid w:val="587E2D46"/>
    <w:rsid w:val="588509DD"/>
    <w:rsid w:val="58896B0C"/>
    <w:rsid w:val="588A61D8"/>
    <w:rsid w:val="58953B9F"/>
    <w:rsid w:val="58957A8C"/>
    <w:rsid w:val="58977A2D"/>
    <w:rsid w:val="589C0BA1"/>
    <w:rsid w:val="589F18E4"/>
    <w:rsid w:val="58A26665"/>
    <w:rsid w:val="58AF0C31"/>
    <w:rsid w:val="58B156C4"/>
    <w:rsid w:val="58B8443B"/>
    <w:rsid w:val="58BC4002"/>
    <w:rsid w:val="58DB456A"/>
    <w:rsid w:val="58E909DD"/>
    <w:rsid w:val="58EB1C90"/>
    <w:rsid w:val="58F57D12"/>
    <w:rsid w:val="59024D06"/>
    <w:rsid w:val="591B7675"/>
    <w:rsid w:val="59267EF0"/>
    <w:rsid w:val="59421F7E"/>
    <w:rsid w:val="59424509"/>
    <w:rsid w:val="594935F2"/>
    <w:rsid w:val="595643B9"/>
    <w:rsid w:val="595C0946"/>
    <w:rsid w:val="59604A5E"/>
    <w:rsid w:val="59642A7A"/>
    <w:rsid w:val="596D32B4"/>
    <w:rsid w:val="59774D3E"/>
    <w:rsid w:val="598C6052"/>
    <w:rsid w:val="599148CE"/>
    <w:rsid w:val="599152BD"/>
    <w:rsid w:val="59A24ED6"/>
    <w:rsid w:val="59A6789D"/>
    <w:rsid w:val="59AF0514"/>
    <w:rsid w:val="59B6531E"/>
    <w:rsid w:val="59B75E8A"/>
    <w:rsid w:val="59BC0F73"/>
    <w:rsid w:val="59BD2911"/>
    <w:rsid w:val="59BE1CC3"/>
    <w:rsid w:val="59C13A26"/>
    <w:rsid w:val="59CD13E5"/>
    <w:rsid w:val="59D906FD"/>
    <w:rsid w:val="59DA6C9E"/>
    <w:rsid w:val="59DC377C"/>
    <w:rsid w:val="59E11C9B"/>
    <w:rsid w:val="59EB0D06"/>
    <w:rsid w:val="59F511B7"/>
    <w:rsid w:val="59FC124B"/>
    <w:rsid w:val="59FF130C"/>
    <w:rsid w:val="59FF2F18"/>
    <w:rsid w:val="5A012128"/>
    <w:rsid w:val="5A0640DE"/>
    <w:rsid w:val="5A0A2180"/>
    <w:rsid w:val="5A120891"/>
    <w:rsid w:val="5A1215B1"/>
    <w:rsid w:val="5A1467DA"/>
    <w:rsid w:val="5A1D0AF2"/>
    <w:rsid w:val="5A1F5196"/>
    <w:rsid w:val="5A227353"/>
    <w:rsid w:val="5A2D0557"/>
    <w:rsid w:val="5A340B09"/>
    <w:rsid w:val="5A3F3527"/>
    <w:rsid w:val="5A440B9D"/>
    <w:rsid w:val="5A5128C3"/>
    <w:rsid w:val="5A575C31"/>
    <w:rsid w:val="5A5C7772"/>
    <w:rsid w:val="5A6336A1"/>
    <w:rsid w:val="5A6B7C88"/>
    <w:rsid w:val="5A73612A"/>
    <w:rsid w:val="5A960636"/>
    <w:rsid w:val="5AA541CF"/>
    <w:rsid w:val="5AAF48E4"/>
    <w:rsid w:val="5AB14D9F"/>
    <w:rsid w:val="5AB6655C"/>
    <w:rsid w:val="5AB96041"/>
    <w:rsid w:val="5ABC4831"/>
    <w:rsid w:val="5ABC6BFA"/>
    <w:rsid w:val="5AD510F0"/>
    <w:rsid w:val="5AE528D4"/>
    <w:rsid w:val="5AF82FCA"/>
    <w:rsid w:val="5AF8657A"/>
    <w:rsid w:val="5B000850"/>
    <w:rsid w:val="5B187495"/>
    <w:rsid w:val="5B1B10FA"/>
    <w:rsid w:val="5B1B5003"/>
    <w:rsid w:val="5B225A79"/>
    <w:rsid w:val="5B2445B5"/>
    <w:rsid w:val="5B421195"/>
    <w:rsid w:val="5B492D29"/>
    <w:rsid w:val="5B4E17EC"/>
    <w:rsid w:val="5B532679"/>
    <w:rsid w:val="5B5B64C5"/>
    <w:rsid w:val="5B5C2C63"/>
    <w:rsid w:val="5B627DC7"/>
    <w:rsid w:val="5B6C5737"/>
    <w:rsid w:val="5B6E0404"/>
    <w:rsid w:val="5B7970F4"/>
    <w:rsid w:val="5B7A3F87"/>
    <w:rsid w:val="5B8512DC"/>
    <w:rsid w:val="5B896F76"/>
    <w:rsid w:val="5B8D7912"/>
    <w:rsid w:val="5B975E5B"/>
    <w:rsid w:val="5B9952DC"/>
    <w:rsid w:val="5B9C0984"/>
    <w:rsid w:val="5BB214B7"/>
    <w:rsid w:val="5BBE6EBD"/>
    <w:rsid w:val="5BCF4DCD"/>
    <w:rsid w:val="5BD41880"/>
    <w:rsid w:val="5BE23D1E"/>
    <w:rsid w:val="5BE24CD9"/>
    <w:rsid w:val="5BE50680"/>
    <w:rsid w:val="5BE52EE1"/>
    <w:rsid w:val="5BEA2231"/>
    <w:rsid w:val="5BF23EBC"/>
    <w:rsid w:val="5BF65E64"/>
    <w:rsid w:val="5BFD4032"/>
    <w:rsid w:val="5C087355"/>
    <w:rsid w:val="5C156323"/>
    <w:rsid w:val="5C1832F4"/>
    <w:rsid w:val="5C1A3044"/>
    <w:rsid w:val="5C2515B3"/>
    <w:rsid w:val="5C471F39"/>
    <w:rsid w:val="5C476CF3"/>
    <w:rsid w:val="5C4E1A44"/>
    <w:rsid w:val="5C5E033F"/>
    <w:rsid w:val="5C6875EE"/>
    <w:rsid w:val="5C6F12DC"/>
    <w:rsid w:val="5C9F14A9"/>
    <w:rsid w:val="5CBE334B"/>
    <w:rsid w:val="5CC43404"/>
    <w:rsid w:val="5CC93DAE"/>
    <w:rsid w:val="5CD31EE3"/>
    <w:rsid w:val="5CE1654F"/>
    <w:rsid w:val="5CEB45A2"/>
    <w:rsid w:val="5D072BC8"/>
    <w:rsid w:val="5D076525"/>
    <w:rsid w:val="5D0A3A75"/>
    <w:rsid w:val="5D0C7A1A"/>
    <w:rsid w:val="5D1A6129"/>
    <w:rsid w:val="5D2B5629"/>
    <w:rsid w:val="5D315CEB"/>
    <w:rsid w:val="5D3619FA"/>
    <w:rsid w:val="5D3B59DF"/>
    <w:rsid w:val="5D473075"/>
    <w:rsid w:val="5D4B710A"/>
    <w:rsid w:val="5D5864DB"/>
    <w:rsid w:val="5D5B03AE"/>
    <w:rsid w:val="5D73393B"/>
    <w:rsid w:val="5D784379"/>
    <w:rsid w:val="5D7B3457"/>
    <w:rsid w:val="5D8B2715"/>
    <w:rsid w:val="5D8B4AF1"/>
    <w:rsid w:val="5D915AFD"/>
    <w:rsid w:val="5D9A1033"/>
    <w:rsid w:val="5D9F7C74"/>
    <w:rsid w:val="5DAB35B6"/>
    <w:rsid w:val="5DAE2E8C"/>
    <w:rsid w:val="5DAE7F34"/>
    <w:rsid w:val="5DB65502"/>
    <w:rsid w:val="5DD01D49"/>
    <w:rsid w:val="5DD31937"/>
    <w:rsid w:val="5DDE78BA"/>
    <w:rsid w:val="5DE32D45"/>
    <w:rsid w:val="5DE618BB"/>
    <w:rsid w:val="5DF84769"/>
    <w:rsid w:val="5DF96DDE"/>
    <w:rsid w:val="5E00720B"/>
    <w:rsid w:val="5E012896"/>
    <w:rsid w:val="5E0A6049"/>
    <w:rsid w:val="5E156B70"/>
    <w:rsid w:val="5E1D7C32"/>
    <w:rsid w:val="5E21165A"/>
    <w:rsid w:val="5E226508"/>
    <w:rsid w:val="5E3710F9"/>
    <w:rsid w:val="5E495C42"/>
    <w:rsid w:val="5E5F0687"/>
    <w:rsid w:val="5E625FDD"/>
    <w:rsid w:val="5E644512"/>
    <w:rsid w:val="5E783202"/>
    <w:rsid w:val="5E7842EE"/>
    <w:rsid w:val="5E7D0D5F"/>
    <w:rsid w:val="5E97064E"/>
    <w:rsid w:val="5E9A2F8E"/>
    <w:rsid w:val="5E9E0DE6"/>
    <w:rsid w:val="5EA648E2"/>
    <w:rsid w:val="5EA7108C"/>
    <w:rsid w:val="5EB41B14"/>
    <w:rsid w:val="5EB52E6F"/>
    <w:rsid w:val="5EBD59A3"/>
    <w:rsid w:val="5EC94A60"/>
    <w:rsid w:val="5ECB30F3"/>
    <w:rsid w:val="5ED95EEE"/>
    <w:rsid w:val="5EF04AC4"/>
    <w:rsid w:val="5EF47473"/>
    <w:rsid w:val="5EFF184F"/>
    <w:rsid w:val="5F09081F"/>
    <w:rsid w:val="5F1111AD"/>
    <w:rsid w:val="5F121A0D"/>
    <w:rsid w:val="5F1B27DE"/>
    <w:rsid w:val="5F2C64A1"/>
    <w:rsid w:val="5F39582E"/>
    <w:rsid w:val="5F417389"/>
    <w:rsid w:val="5F45602C"/>
    <w:rsid w:val="5F4632C4"/>
    <w:rsid w:val="5F482400"/>
    <w:rsid w:val="5F4A58A7"/>
    <w:rsid w:val="5F516934"/>
    <w:rsid w:val="5F57147C"/>
    <w:rsid w:val="5F644B76"/>
    <w:rsid w:val="5F646936"/>
    <w:rsid w:val="5F764A5E"/>
    <w:rsid w:val="5F7D66DE"/>
    <w:rsid w:val="5F810033"/>
    <w:rsid w:val="5F8C52DB"/>
    <w:rsid w:val="5F926B2C"/>
    <w:rsid w:val="5F966692"/>
    <w:rsid w:val="5FA00A10"/>
    <w:rsid w:val="5FA4374A"/>
    <w:rsid w:val="5FA4380A"/>
    <w:rsid w:val="5FB25387"/>
    <w:rsid w:val="5FB316C1"/>
    <w:rsid w:val="5FBC4EC3"/>
    <w:rsid w:val="5FC53509"/>
    <w:rsid w:val="5FC954C3"/>
    <w:rsid w:val="5FD20829"/>
    <w:rsid w:val="5FEC209E"/>
    <w:rsid w:val="5FEF1B2C"/>
    <w:rsid w:val="5FF876A2"/>
    <w:rsid w:val="5FFE6C22"/>
    <w:rsid w:val="60000309"/>
    <w:rsid w:val="600B6B90"/>
    <w:rsid w:val="600C3224"/>
    <w:rsid w:val="600F6605"/>
    <w:rsid w:val="60143AD3"/>
    <w:rsid w:val="60281FCD"/>
    <w:rsid w:val="603771DA"/>
    <w:rsid w:val="60734371"/>
    <w:rsid w:val="6085543E"/>
    <w:rsid w:val="60890F34"/>
    <w:rsid w:val="60907882"/>
    <w:rsid w:val="609517E9"/>
    <w:rsid w:val="609A2B73"/>
    <w:rsid w:val="60A63C20"/>
    <w:rsid w:val="60B340CC"/>
    <w:rsid w:val="60BA0952"/>
    <w:rsid w:val="60C17138"/>
    <w:rsid w:val="60C5483E"/>
    <w:rsid w:val="60C867C5"/>
    <w:rsid w:val="60D3354A"/>
    <w:rsid w:val="60DB0800"/>
    <w:rsid w:val="60DE0DB6"/>
    <w:rsid w:val="60E25A31"/>
    <w:rsid w:val="60E54273"/>
    <w:rsid w:val="60EA253B"/>
    <w:rsid w:val="60F3378A"/>
    <w:rsid w:val="60F46839"/>
    <w:rsid w:val="6106225A"/>
    <w:rsid w:val="61067A64"/>
    <w:rsid w:val="61074C74"/>
    <w:rsid w:val="610957DD"/>
    <w:rsid w:val="610C7D1D"/>
    <w:rsid w:val="6112529A"/>
    <w:rsid w:val="611F0B09"/>
    <w:rsid w:val="61200AAF"/>
    <w:rsid w:val="61243CBA"/>
    <w:rsid w:val="612D2321"/>
    <w:rsid w:val="61455CF4"/>
    <w:rsid w:val="61615F14"/>
    <w:rsid w:val="616D26CB"/>
    <w:rsid w:val="616E223F"/>
    <w:rsid w:val="61751F59"/>
    <w:rsid w:val="617C28AF"/>
    <w:rsid w:val="6181300B"/>
    <w:rsid w:val="61963257"/>
    <w:rsid w:val="619C38B4"/>
    <w:rsid w:val="61A4486B"/>
    <w:rsid w:val="61A5359E"/>
    <w:rsid w:val="61AB17E3"/>
    <w:rsid w:val="61B33DDF"/>
    <w:rsid w:val="61BB4A1B"/>
    <w:rsid w:val="61BC23E5"/>
    <w:rsid w:val="61BF45D6"/>
    <w:rsid w:val="61D21120"/>
    <w:rsid w:val="61E728F9"/>
    <w:rsid w:val="61F3667F"/>
    <w:rsid w:val="61FB110C"/>
    <w:rsid w:val="61FE3F49"/>
    <w:rsid w:val="620B2B74"/>
    <w:rsid w:val="62185165"/>
    <w:rsid w:val="62222FF1"/>
    <w:rsid w:val="62395639"/>
    <w:rsid w:val="623C561C"/>
    <w:rsid w:val="62460FCD"/>
    <w:rsid w:val="62480FF0"/>
    <w:rsid w:val="624B14C1"/>
    <w:rsid w:val="62630C6B"/>
    <w:rsid w:val="627301E8"/>
    <w:rsid w:val="6295194F"/>
    <w:rsid w:val="62B078CA"/>
    <w:rsid w:val="62BA3B2B"/>
    <w:rsid w:val="62C37511"/>
    <w:rsid w:val="62C85E02"/>
    <w:rsid w:val="62D11C3F"/>
    <w:rsid w:val="62E157FC"/>
    <w:rsid w:val="62E61BD3"/>
    <w:rsid w:val="62E81148"/>
    <w:rsid w:val="62F76986"/>
    <w:rsid w:val="63074CE8"/>
    <w:rsid w:val="631540CC"/>
    <w:rsid w:val="632E4574"/>
    <w:rsid w:val="632F06D8"/>
    <w:rsid w:val="63317698"/>
    <w:rsid w:val="63340EAE"/>
    <w:rsid w:val="63443DC2"/>
    <w:rsid w:val="634B6A95"/>
    <w:rsid w:val="634E4E26"/>
    <w:rsid w:val="634F6CB9"/>
    <w:rsid w:val="63615D3E"/>
    <w:rsid w:val="63683422"/>
    <w:rsid w:val="636C62BA"/>
    <w:rsid w:val="63735EC7"/>
    <w:rsid w:val="63821D61"/>
    <w:rsid w:val="63827E36"/>
    <w:rsid w:val="63842477"/>
    <w:rsid w:val="638A1602"/>
    <w:rsid w:val="638B04D2"/>
    <w:rsid w:val="63A85CD1"/>
    <w:rsid w:val="63AD243C"/>
    <w:rsid w:val="63B02C42"/>
    <w:rsid w:val="63BD7145"/>
    <w:rsid w:val="63BE3069"/>
    <w:rsid w:val="63C51AD9"/>
    <w:rsid w:val="63C54411"/>
    <w:rsid w:val="63C86B80"/>
    <w:rsid w:val="63CD27C8"/>
    <w:rsid w:val="63CF2629"/>
    <w:rsid w:val="63D40E51"/>
    <w:rsid w:val="63E11814"/>
    <w:rsid w:val="63E210A4"/>
    <w:rsid w:val="63E22BE8"/>
    <w:rsid w:val="63E263F4"/>
    <w:rsid w:val="63E418C9"/>
    <w:rsid w:val="64051650"/>
    <w:rsid w:val="64376CF6"/>
    <w:rsid w:val="643F3FFC"/>
    <w:rsid w:val="644D3A15"/>
    <w:rsid w:val="646C4EF1"/>
    <w:rsid w:val="646F3353"/>
    <w:rsid w:val="646F69D6"/>
    <w:rsid w:val="64706C6F"/>
    <w:rsid w:val="648B777B"/>
    <w:rsid w:val="64937D17"/>
    <w:rsid w:val="6494650D"/>
    <w:rsid w:val="649A6134"/>
    <w:rsid w:val="649D2569"/>
    <w:rsid w:val="64A51362"/>
    <w:rsid w:val="64A55A03"/>
    <w:rsid w:val="64B453B1"/>
    <w:rsid w:val="64BC7C28"/>
    <w:rsid w:val="64BD0B29"/>
    <w:rsid w:val="64BE5702"/>
    <w:rsid w:val="64CF05E4"/>
    <w:rsid w:val="64D63AEE"/>
    <w:rsid w:val="64D93F02"/>
    <w:rsid w:val="64DB535B"/>
    <w:rsid w:val="64EA4517"/>
    <w:rsid w:val="64F445BA"/>
    <w:rsid w:val="64FC561C"/>
    <w:rsid w:val="64FE0E31"/>
    <w:rsid w:val="651A5C6A"/>
    <w:rsid w:val="651C38DB"/>
    <w:rsid w:val="65204394"/>
    <w:rsid w:val="6522790C"/>
    <w:rsid w:val="652F0734"/>
    <w:rsid w:val="653E78B1"/>
    <w:rsid w:val="65403733"/>
    <w:rsid w:val="655754CB"/>
    <w:rsid w:val="655E2D72"/>
    <w:rsid w:val="655E701D"/>
    <w:rsid w:val="656171FC"/>
    <w:rsid w:val="656C6C54"/>
    <w:rsid w:val="6570700F"/>
    <w:rsid w:val="657647A7"/>
    <w:rsid w:val="657F0CE6"/>
    <w:rsid w:val="657F644F"/>
    <w:rsid w:val="65833C4F"/>
    <w:rsid w:val="658B37B6"/>
    <w:rsid w:val="659C17EE"/>
    <w:rsid w:val="65A3702A"/>
    <w:rsid w:val="65BD3777"/>
    <w:rsid w:val="65BD596C"/>
    <w:rsid w:val="65C3069D"/>
    <w:rsid w:val="65D70270"/>
    <w:rsid w:val="65DE0E43"/>
    <w:rsid w:val="65E2361F"/>
    <w:rsid w:val="66032E7B"/>
    <w:rsid w:val="66053581"/>
    <w:rsid w:val="66090B35"/>
    <w:rsid w:val="660A19B0"/>
    <w:rsid w:val="661026AA"/>
    <w:rsid w:val="66316C03"/>
    <w:rsid w:val="663D054E"/>
    <w:rsid w:val="66460692"/>
    <w:rsid w:val="666150EC"/>
    <w:rsid w:val="66786D4A"/>
    <w:rsid w:val="6679372B"/>
    <w:rsid w:val="667B3C56"/>
    <w:rsid w:val="66980BF6"/>
    <w:rsid w:val="66B27DBE"/>
    <w:rsid w:val="66B81454"/>
    <w:rsid w:val="66BE1292"/>
    <w:rsid w:val="66BF76F1"/>
    <w:rsid w:val="66D323A3"/>
    <w:rsid w:val="66D355F1"/>
    <w:rsid w:val="66DA3497"/>
    <w:rsid w:val="66DC5BF8"/>
    <w:rsid w:val="66E173F9"/>
    <w:rsid w:val="66E3226C"/>
    <w:rsid w:val="66E611A7"/>
    <w:rsid w:val="66EC5E36"/>
    <w:rsid w:val="66FC45F1"/>
    <w:rsid w:val="67181932"/>
    <w:rsid w:val="672A4901"/>
    <w:rsid w:val="67441B08"/>
    <w:rsid w:val="674F07A2"/>
    <w:rsid w:val="67513E69"/>
    <w:rsid w:val="675A17FE"/>
    <w:rsid w:val="676E1585"/>
    <w:rsid w:val="677E2FA1"/>
    <w:rsid w:val="67836FB1"/>
    <w:rsid w:val="678A44B2"/>
    <w:rsid w:val="678C1D52"/>
    <w:rsid w:val="67973403"/>
    <w:rsid w:val="67A67078"/>
    <w:rsid w:val="67AC341B"/>
    <w:rsid w:val="67B22222"/>
    <w:rsid w:val="67C149C0"/>
    <w:rsid w:val="67C7427D"/>
    <w:rsid w:val="67CA7967"/>
    <w:rsid w:val="67CC38C5"/>
    <w:rsid w:val="67D9695E"/>
    <w:rsid w:val="67DC5CEA"/>
    <w:rsid w:val="67DF18A0"/>
    <w:rsid w:val="67E024C8"/>
    <w:rsid w:val="67F5522D"/>
    <w:rsid w:val="67F90B24"/>
    <w:rsid w:val="680965F8"/>
    <w:rsid w:val="680E0C6C"/>
    <w:rsid w:val="681778E7"/>
    <w:rsid w:val="68240EAA"/>
    <w:rsid w:val="682E40AB"/>
    <w:rsid w:val="683D75A2"/>
    <w:rsid w:val="6847378D"/>
    <w:rsid w:val="6850356A"/>
    <w:rsid w:val="685465AC"/>
    <w:rsid w:val="68733F18"/>
    <w:rsid w:val="687442EE"/>
    <w:rsid w:val="687A2F41"/>
    <w:rsid w:val="687F13BF"/>
    <w:rsid w:val="688945C0"/>
    <w:rsid w:val="689B3E14"/>
    <w:rsid w:val="689C2922"/>
    <w:rsid w:val="689C5C1D"/>
    <w:rsid w:val="689D6F4C"/>
    <w:rsid w:val="689F2FA0"/>
    <w:rsid w:val="68A02CE9"/>
    <w:rsid w:val="68A41350"/>
    <w:rsid w:val="68AD26AA"/>
    <w:rsid w:val="68BC14B0"/>
    <w:rsid w:val="68BC512A"/>
    <w:rsid w:val="68BF0078"/>
    <w:rsid w:val="68C20D16"/>
    <w:rsid w:val="68C42893"/>
    <w:rsid w:val="68DD619B"/>
    <w:rsid w:val="68E20DDA"/>
    <w:rsid w:val="68EE3223"/>
    <w:rsid w:val="68FD5593"/>
    <w:rsid w:val="691B307E"/>
    <w:rsid w:val="692006F7"/>
    <w:rsid w:val="69242A22"/>
    <w:rsid w:val="692F62F3"/>
    <w:rsid w:val="69301A1D"/>
    <w:rsid w:val="6934218F"/>
    <w:rsid w:val="693B466C"/>
    <w:rsid w:val="693C5AA5"/>
    <w:rsid w:val="693E13B7"/>
    <w:rsid w:val="69421566"/>
    <w:rsid w:val="6951205B"/>
    <w:rsid w:val="6953741D"/>
    <w:rsid w:val="69552B47"/>
    <w:rsid w:val="6956014F"/>
    <w:rsid w:val="696F3842"/>
    <w:rsid w:val="69731101"/>
    <w:rsid w:val="697D087B"/>
    <w:rsid w:val="697D184D"/>
    <w:rsid w:val="69A7770D"/>
    <w:rsid w:val="69AC0B64"/>
    <w:rsid w:val="69B27491"/>
    <w:rsid w:val="69B27C94"/>
    <w:rsid w:val="69BA2288"/>
    <w:rsid w:val="69C13864"/>
    <w:rsid w:val="69CD6E9A"/>
    <w:rsid w:val="69D537ED"/>
    <w:rsid w:val="69DB287C"/>
    <w:rsid w:val="69DC3AC1"/>
    <w:rsid w:val="69DF7D47"/>
    <w:rsid w:val="69E673F8"/>
    <w:rsid w:val="69EB2120"/>
    <w:rsid w:val="69EF180F"/>
    <w:rsid w:val="69F00B35"/>
    <w:rsid w:val="69F224F8"/>
    <w:rsid w:val="69F3045E"/>
    <w:rsid w:val="69F3790F"/>
    <w:rsid w:val="6A0642EE"/>
    <w:rsid w:val="6A0740F2"/>
    <w:rsid w:val="6A12415B"/>
    <w:rsid w:val="6A1D05D4"/>
    <w:rsid w:val="6A25601C"/>
    <w:rsid w:val="6A2750C5"/>
    <w:rsid w:val="6A290AA5"/>
    <w:rsid w:val="6A2A46CE"/>
    <w:rsid w:val="6A3A1167"/>
    <w:rsid w:val="6A3F4FDB"/>
    <w:rsid w:val="6A532FF6"/>
    <w:rsid w:val="6A601C8F"/>
    <w:rsid w:val="6A6F56CD"/>
    <w:rsid w:val="6A7174A5"/>
    <w:rsid w:val="6A72508F"/>
    <w:rsid w:val="6A732254"/>
    <w:rsid w:val="6A774894"/>
    <w:rsid w:val="6A7F21CD"/>
    <w:rsid w:val="6A8C3EFF"/>
    <w:rsid w:val="6A9371B0"/>
    <w:rsid w:val="6A937D23"/>
    <w:rsid w:val="6A9A32A0"/>
    <w:rsid w:val="6A9B5915"/>
    <w:rsid w:val="6A9B7735"/>
    <w:rsid w:val="6AA258AD"/>
    <w:rsid w:val="6AB45A03"/>
    <w:rsid w:val="6ABE4FFD"/>
    <w:rsid w:val="6AE26C27"/>
    <w:rsid w:val="6AED013C"/>
    <w:rsid w:val="6AF159FF"/>
    <w:rsid w:val="6AF63F29"/>
    <w:rsid w:val="6AFA09D6"/>
    <w:rsid w:val="6B1C16A4"/>
    <w:rsid w:val="6B21318E"/>
    <w:rsid w:val="6B274AA8"/>
    <w:rsid w:val="6B285741"/>
    <w:rsid w:val="6B340EF1"/>
    <w:rsid w:val="6B361A17"/>
    <w:rsid w:val="6B3D06AC"/>
    <w:rsid w:val="6B444BB7"/>
    <w:rsid w:val="6B4B2C3B"/>
    <w:rsid w:val="6B5B0A52"/>
    <w:rsid w:val="6B5B7CD6"/>
    <w:rsid w:val="6B5D2504"/>
    <w:rsid w:val="6B6C560D"/>
    <w:rsid w:val="6B7B6FD8"/>
    <w:rsid w:val="6B846AF2"/>
    <w:rsid w:val="6B95396B"/>
    <w:rsid w:val="6B9E7957"/>
    <w:rsid w:val="6BB35912"/>
    <w:rsid w:val="6BBB00B1"/>
    <w:rsid w:val="6BBD3E9D"/>
    <w:rsid w:val="6BC03721"/>
    <w:rsid w:val="6BC97E0F"/>
    <w:rsid w:val="6BCC01D5"/>
    <w:rsid w:val="6BCF2DCA"/>
    <w:rsid w:val="6BD8055A"/>
    <w:rsid w:val="6BDD0493"/>
    <w:rsid w:val="6BDE54AC"/>
    <w:rsid w:val="6BE068F6"/>
    <w:rsid w:val="6BE1585A"/>
    <w:rsid w:val="6BF229CE"/>
    <w:rsid w:val="6BF25C39"/>
    <w:rsid w:val="6C016567"/>
    <w:rsid w:val="6C06150E"/>
    <w:rsid w:val="6C155F31"/>
    <w:rsid w:val="6C206E21"/>
    <w:rsid w:val="6C263A06"/>
    <w:rsid w:val="6C3A624E"/>
    <w:rsid w:val="6C3F4795"/>
    <w:rsid w:val="6C431738"/>
    <w:rsid w:val="6C4556B1"/>
    <w:rsid w:val="6C4B236C"/>
    <w:rsid w:val="6C505966"/>
    <w:rsid w:val="6C5D04BB"/>
    <w:rsid w:val="6C602F61"/>
    <w:rsid w:val="6C666C3C"/>
    <w:rsid w:val="6C6833E1"/>
    <w:rsid w:val="6C6C2961"/>
    <w:rsid w:val="6C7F2C47"/>
    <w:rsid w:val="6C8E4315"/>
    <w:rsid w:val="6C95615F"/>
    <w:rsid w:val="6CA94419"/>
    <w:rsid w:val="6CB242A2"/>
    <w:rsid w:val="6CB33052"/>
    <w:rsid w:val="6CC818AD"/>
    <w:rsid w:val="6CCC57DD"/>
    <w:rsid w:val="6CD430F4"/>
    <w:rsid w:val="6CE0612A"/>
    <w:rsid w:val="6CE269D3"/>
    <w:rsid w:val="6CE84B15"/>
    <w:rsid w:val="6CED284E"/>
    <w:rsid w:val="6CF04EB7"/>
    <w:rsid w:val="6CF17872"/>
    <w:rsid w:val="6CF76712"/>
    <w:rsid w:val="6D033EFD"/>
    <w:rsid w:val="6D274676"/>
    <w:rsid w:val="6D2F4B50"/>
    <w:rsid w:val="6D367781"/>
    <w:rsid w:val="6D385ED1"/>
    <w:rsid w:val="6D3C14B2"/>
    <w:rsid w:val="6D3D720C"/>
    <w:rsid w:val="6D412066"/>
    <w:rsid w:val="6D436625"/>
    <w:rsid w:val="6D5E64E8"/>
    <w:rsid w:val="6D652ED0"/>
    <w:rsid w:val="6D662717"/>
    <w:rsid w:val="6D663299"/>
    <w:rsid w:val="6D770FC8"/>
    <w:rsid w:val="6D925740"/>
    <w:rsid w:val="6D9E7C69"/>
    <w:rsid w:val="6DA71839"/>
    <w:rsid w:val="6DB20233"/>
    <w:rsid w:val="6DC31534"/>
    <w:rsid w:val="6DC54D30"/>
    <w:rsid w:val="6DDF0294"/>
    <w:rsid w:val="6DE131C7"/>
    <w:rsid w:val="6DF6740D"/>
    <w:rsid w:val="6DFB06CC"/>
    <w:rsid w:val="6E035B81"/>
    <w:rsid w:val="6E0F0D37"/>
    <w:rsid w:val="6E0F320E"/>
    <w:rsid w:val="6E131686"/>
    <w:rsid w:val="6E1A325B"/>
    <w:rsid w:val="6E1B4CD0"/>
    <w:rsid w:val="6E266B8A"/>
    <w:rsid w:val="6E2A0DD8"/>
    <w:rsid w:val="6E2C7402"/>
    <w:rsid w:val="6E376A3A"/>
    <w:rsid w:val="6E3D59AC"/>
    <w:rsid w:val="6E3F1C0F"/>
    <w:rsid w:val="6E54692C"/>
    <w:rsid w:val="6E567CD0"/>
    <w:rsid w:val="6E5A5D90"/>
    <w:rsid w:val="6E633CB5"/>
    <w:rsid w:val="6E6C4B8D"/>
    <w:rsid w:val="6E72570E"/>
    <w:rsid w:val="6E7F4549"/>
    <w:rsid w:val="6EAB29FB"/>
    <w:rsid w:val="6EB32B7F"/>
    <w:rsid w:val="6EB46F18"/>
    <w:rsid w:val="6EB63507"/>
    <w:rsid w:val="6EB97257"/>
    <w:rsid w:val="6EBD4DFF"/>
    <w:rsid w:val="6EBF4A50"/>
    <w:rsid w:val="6EC73357"/>
    <w:rsid w:val="6ED266F7"/>
    <w:rsid w:val="6EE939F2"/>
    <w:rsid w:val="6EEE4946"/>
    <w:rsid w:val="6F021829"/>
    <w:rsid w:val="6F04040A"/>
    <w:rsid w:val="6F204557"/>
    <w:rsid w:val="6F277700"/>
    <w:rsid w:val="6F28474F"/>
    <w:rsid w:val="6F331EBA"/>
    <w:rsid w:val="6F350882"/>
    <w:rsid w:val="6F384951"/>
    <w:rsid w:val="6F557589"/>
    <w:rsid w:val="6F607895"/>
    <w:rsid w:val="6F61040C"/>
    <w:rsid w:val="6F6776E1"/>
    <w:rsid w:val="6F702CF5"/>
    <w:rsid w:val="6F7E1B78"/>
    <w:rsid w:val="6F9C5D71"/>
    <w:rsid w:val="6FA3781E"/>
    <w:rsid w:val="6FA66F28"/>
    <w:rsid w:val="6FAF5C06"/>
    <w:rsid w:val="6FB80EE8"/>
    <w:rsid w:val="6FBD65E8"/>
    <w:rsid w:val="6FD36624"/>
    <w:rsid w:val="6FE42FEE"/>
    <w:rsid w:val="6FE53444"/>
    <w:rsid w:val="6FF1528E"/>
    <w:rsid w:val="6FFB167C"/>
    <w:rsid w:val="700C0460"/>
    <w:rsid w:val="70170F2B"/>
    <w:rsid w:val="701D430D"/>
    <w:rsid w:val="701E2FAB"/>
    <w:rsid w:val="702267D2"/>
    <w:rsid w:val="70370653"/>
    <w:rsid w:val="70387A8F"/>
    <w:rsid w:val="70541A84"/>
    <w:rsid w:val="70544962"/>
    <w:rsid w:val="70594FF5"/>
    <w:rsid w:val="70680AC8"/>
    <w:rsid w:val="706D51B8"/>
    <w:rsid w:val="70722D6B"/>
    <w:rsid w:val="70767F2C"/>
    <w:rsid w:val="707E62BB"/>
    <w:rsid w:val="7086140B"/>
    <w:rsid w:val="70910C43"/>
    <w:rsid w:val="709C671C"/>
    <w:rsid w:val="709E4E34"/>
    <w:rsid w:val="709E640C"/>
    <w:rsid w:val="70A156F4"/>
    <w:rsid w:val="70AD5CCA"/>
    <w:rsid w:val="70B56633"/>
    <w:rsid w:val="70BB0D3E"/>
    <w:rsid w:val="70CF3906"/>
    <w:rsid w:val="70D91094"/>
    <w:rsid w:val="70DB76EF"/>
    <w:rsid w:val="70E47264"/>
    <w:rsid w:val="70E66336"/>
    <w:rsid w:val="710B03C6"/>
    <w:rsid w:val="711A07FF"/>
    <w:rsid w:val="712D2ADB"/>
    <w:rsid w:val="712D4159"/>
    <w:rsid w:val="71346CB6"/>
    <w:rsid w:val="7136388E"/>
    <w:rsid w:val="714200B6"/>
    <w:rsid w:val="71431855"/>
    <w:rsid w:val="7143374A"/>
    <w:rsid w:val="71444EDE"/>
    <w:rsid w:val="715117C4"/>
    <w:rsid w:val="71536701"/>
    <w:rsid w:val="715B7250"/>
    <w:rsid w:val="715D365A"/>
    <w:rsid w:val="715D7038"/>
    <w:rsid w:val="716A160C"/>
    <w:rsid w:val="716B5F96"/>
    <w:rsid w:val="716D67F7"/>
    <w:rsid w:val="71747EDF"/>
    <w:rsid w:val="71854FB3"/>
    <w:rsid w:val="718A1C03"/>
    <w:rsid w:val="718B3A9F"/>
    <w:rsid w:val="71936186"/>
    <w:rsid w:val="71AF2F66"/>
    <w:rsid w:val="71C04F3C"/>
    <w:rsid w:val="71C2301C"/>
    <w:rsid w:val="71C45E90"/>
    <w:rsid w:val="71C96C07"/>
    <w:rsid w:val="71CD28DD"/>
    <w:rsid w:val="71D00811"/>
    <w:rsid w:val="71D252DE"/>
    <w:rsid w:val="71DA7C5F"/>
    <w:rsid w:val="71DE4C74"/>
    <w:rsid w:val="71E346E4"/>
    <w:rsid w:val="71E767FC"/>
    <w:rsid w:val="71EF2ABF"/>
    <w:rsid w:val="71EF5D41"/>
    <w:rsid w:val="71FA752C"/>
    <w:rsid w:val="72056436"/>
    <w:rsid w:val="720958C8"/>
    <w:rsid w:val="720979A0"/>
    <w:rsid w:val="720F633E"/>
    <w:rsid w:val="72130B93"/>
    <w:rsid w:val="721454BD"/>
    <w:rsid w:val="721C688B"/>
    <w:rsid w:val="7226185D"/>
    <w:rsid w:val="723749D7"/>
    <w:rsid w:val="723D74C3"/>
    <w:rsid w:val="724E54F1"/>
    <w:rsid w:val="72700599"/>
    <w:rsid w:val="727334E4"/>
    <w:rsid w:val="72772DDB"/>
    <w:rsid w:val="727B2E39"/>
    <w:rsid w:val="72827328"/>
    <w:rsid w:val="728B509F"/>
    <w:rsid w:val="728F0A31"/>
    <w:rsid w:val="729B0D2B"/>
    <w:rsid w:val="729C2337"/>
    <w:rsid w:val="72A25ED1"/>
    <w:rsid w:val="72A310CE"/>
    <w:rsid w:val="72A62916"/>
    <w:rsid w:val="72B450C8"/>
    <w:rsid w:val="72B751B8"/>
    <w:rsid w:val="72CE3184"/>
    <w:rsid w:val="72CE7D06"/>
    <w:rsid w:val="72D456A5"/>
    <w:rsid w:val="72E066C5"/>
    <w:rsid w:val="72E70D52"/>
    <w:rsid w:val="72EA6B66"/>
    <w:rsid w:val="72F838A4"/>
    <w:rsid w:val="72FA604C"/>
    <w:rsid w:val="7302733B"/>
    <w:rsid w:val="731649D2"/>
    <w:rsid w:val="731C28E7"/>
    <w:rsid w:val="7326097A"/>
    <w:rsid w:val="732A4A9B"/>
    <w:rsid w:val="73343997"/>
    <w:rsid w:val="73370B0A"/>
    <w:rsid w:val="733C723A"/>
    <w:rsid w:val="733C7C6A"/>
    <w:rsid w:val="73634EB8"/>
    <w:rsid w:val="736411CC"/>
    <w:rsid w:val="73690216"/>
    <w:rsid w:val="736A02D8"/>
    <w:rsid w:val="737217D4"/>
    <w:rsid w:val="7374270E"/>
    <w:rsid w:val="73893467"/>
    <w:rsid w:val="738A36E1"/>
    <w:rsid w:val="73912A81"/>
    <w:rsid w:val="739B1EFF"/>
    <w:rsid w:val="73A16D22"/>
    <w:rsid w:val="73AF7816"/>
    <w:rsid w:val="73B1400F"/>
    <w:rsid w:val="73BA064C"/>
    <w:rsid w:val="73BB3C6E"/>
    <w:rsid w:val="73CD6249"/>
    <w:rsid w:val="73CE1997"/>
    <w:rsid w:val="73D30E80"/>
    <w:rsid w:val="73DE1AB7"/>
    <w:rsid w:val="73EC7C9D"/>
    <w:rsid w:val="7407051F"/>
    <w:rsid w:val="7408772F"/>
    <w:rsid w:val="741076D1"/>
    <w:rsid w:val="74215D04"/>
    <w:rsid w:val="742A0965"/>
    <w:rsid w:val="742D6DB6"/>
    <w:rsid w:val="743A6376"/>
    <w:rsid w:val="744642D9"/>
    <w:rsid w:val="74515841"/>
    <w:rsid w:val="74522D94"/>
    <w:rsid w:val="74775754"/>
    <w:rsid w:val="747A534B"/>
    <w:rsid w:val="748F5F72"/>
    <w:rsid w:val="749414E8"/>
    <w:rsid w:val="74941A44"/>
    <w:rsid w:val="74AE3849"/>
    <w:rsid w:val="74B06962"/>
    <w:rsid w:val="74B32215"/>
    <w:rsid w:val="74B65727"/>
    <w:rsid w:val="74BC224D"/>
    <w:rsid w:val="74BF58BA"/>
    <w:rsid w:val="74C46840"/>
    <w:rsid w:val="74CC4D87"/>
    <w:rsid w:val="74D575AA"/>
    <w:rsid w:val="74D71DDE"/>
    <w:rsid w:val="74D90906"/>
    <w:rsid w:val="74DA7956"/>
    <w:rsid w:val="74E11F86"/>
    <w:rsid w:val="74F17388"/>
    <w:rsid w:val="74FB509B"/>
    <w:rsid w:val="74FB6035"/>
    <w:rsid w:val="750934A8"/>
    <w:rsid w:val="750A15E4"/>
    <w:rsid w:val="75182787"/>
    <w:rsid w:val="752B3381"/>
    <w:rsid w:val="75376E15"/>
    <w:rsid w:val="753F09C2"/>
    <w:rsid w:val="75457EFF"/>
    <w:rsid w:val="75496A07"/>
    <w:rsid w:val="7554481F"/>
    <w:rsid w:val="75571553"/>
    <w:rsid w:val="75594581"/>
    <w:rsid w:val="755A5494"/>
    <w:rsid w:val="75625A16"/>
    <w:rsid w:val="7564200E"/>
    <w:rsid w:val="75663FD1"/>
    <w:rsid w:val="756B28AC"/>
    <w:rsid w:val="757203D9"/>
    <w:rsid w:val="757540E3"/>
    <w:rsid w:val="757B170B"/>
    <w:rsid w:val="758A5C12"/>
    <w:rsid w:val="7596146E"/>
    <w:rsid w:val="75961DC0"/>
    <w:rsid w:val="759B02AD"/>
    <w:rsid w:val="759B0C43"/>
    <w:rsid w:val="75A53BC6"/>
    <w:rsid w:val="75B46E1A"/>
    <w:rsid w:val="75C123A7"/>
    <w:rsid w:val="75C93F74"/>
    <w:rsid w:val="75CD2584"/>
    <w:rsid w:val="75CF4C62"/>
    <w:rsid w:val="75D357A7"/>
    <w:rsid w:val="75E11E7C"/>
    <w:rsid w:val="75F75D00"/>
    <w:rsid w:val="75F8074C"/>
    <w:rsid w:val="7600209C"/>
    <w:rsid w:val="760049B0"/>
    <w:rsid w:val="76070A73"/>
    <w:rsid w:val="760B0DC1"/>
    <w:rsid w:val="760E7ECE"/>
    <w:rsid w:val="761527DD"/>
    <w:rsid w:val="761D3668"/>
    <w:rsid w:val="761F430E"/>
    <w:rsid w:val="76220810"/>
    <w:rsid w:val="76250B12"/>
    <w:rsid w:val="762D70E7"/>
    <w:rsid w:val="7630359D"/>
    <w:rsid w:val="7637162F"/>
    <w:rsid w:val="763B42FB"/>
    <w:rsid w:val="763D4BE9"/>
    <w:rsid w:val="763F1F92"/>
    <w:rsid w:val="76424474"/>
    <w:rsid w:val="76437632"/>
    <w:rsid w:val="76451CD6"/>
    <w:rsid w:val="76452780"/>
    <w:rsid w:val="764F7670"/>
    <w:rsid w:val="7653532E"/>
    <w:rsid w:val="76587361"/>
    <w:rsid w:val="76690632"/>
    <w:rsid w:val="767469E2"/>
    <w:rsid w:val="76775F0B"/>
    <w:rsid w:val="767E2DAC"/>
    <w:rsid w:val="76894819"/>
    <w:rsid w:val="768D57E3"/>
    <w:rsid w:val="76932317"/>
    <w:rsid w:val="76B153BA"/>
    <w:rsid w:val="76B90DA3"/>
    <w:rsid w:val="76C72CA0"/>
    <w:rsid w:val="76D90C0C"/>
    <w:rsid w:val="76ED0EF4"/>
    <w:rsid w:val="76F2295F"/>
    <w:rsid w:val="76F50A9F"/>
    <w:rsid w:val="76FD2D1D"/>
    <w:rsid w:val="770B4187"/>
    <w:rsid w:val="77153113"/>
    <w:rsid w:val="77187F65"/>
    <w:rsid w:val="77271085"/>
    <w:rsid w:val="77281165"/>
    <w:rsid w:val="7729766A"/>
    <w:rsid w:val="772D35A6"/>
    <w:rsid w:val="773A62B8"/>
    <w:rsid w:val="77422DC5"/>
    <w:rsid w:val="774B3934"/>
    <w:rsid w:val="776E5E82"/>
    <w:rsid w:val="777B5F51"/>
    <w:rsid w:val="777D53E6"/>
    <w:rsid w:val="77847A56"/>
    <w:rsid w:val="778F0D7D"/>
    <w:rsid w:val="778F49BD"/>
    <w:rsid w:val="779436B9"/>
    <w:rsid w:val="77966F4C"/>
    <w:rsid w:val="779959CA"/>
    <w:rsid w:val="77A31525"/>
    <w:rsid w:val="77A336A3"/>
    <w:rsid w:val="77A6666E"/>
    <w:rsid w:val="77A75021"/>
    <w:rsid w:val="77A83072"/>
    <w:rsid w:val="77B4796D"/>
    <w:rsid w:val="77B8689C"/>
    <w:rsid w:val="77C2510C"/>
    <w:rsid w:val="77C833A2"/>
    <w:rsid w:val="77DD64C8"/>
    <w:rsid w:val="77E308F8"/>
    <w:rsid w:val="780332D4"/>
    <w:rsid w:val="78036043"/>
    <w:rsid w:val="7813374F"/>
    <w:rsid w:val="78153692"/>
    <w:rsid w:val="781838FF"/>
    <w:rsid w:val="781B3886"/>
    <w:rsid w:val="78316382"/>
    <w:rsid w:val="78375EBD"/>
    <w:rsid w:val="784151EC"/>
    <w:rsid w:val="786D70E2"/>
    <w:rsid w:val="786E5400"/>
    <w:rsid w:val="787659AD"/>
    <w:rsid w:val="7888219B"/>
    <w:rsid w:val="788908C8"/>
    <w:rsid w:val="788A5AEB"/>
    <w:rsid w:val="789210CB"/>
    <w:rsid w:val="78993306"/>
    <w:rsid w:val="78AD7079"/>
    <w:rsid w:val="78BC539D"/>
    <w:rsid w:val="78C134B0"/>
    <w:rsid w:val="78D31673"/>
    <w:rsid w:val="78D97F0E"/>
    <w:rsid w:val="78DA009A"/>
    <w:rsid w:val="78DC2FA9"/>
    <w:rsid w:val="78DF525A"/>
    <w:rsid w:val="78E10355"/>
    <w:rsid w:val="78F40C87"/>
    <w:rsid w:val="78FC7FC2"/>
    <w:rsid w:val="79042DE3"/>
    <w:rsid w:val="791474A8"/>
    <w:rsid w:val="79176206"/>
    <w:rsid w:val="79213934"/>
    <w:rsid w:val="79221399"/>
    <w:rsid w:val="79282A0A"/>
    <w:rsid w:val="7940572D"/>
    <w:rsid w:val="79411A16"/>
    <w:rsid w:val="79415330"/>
    <w:rsid w:val="79461391"/>
    <w:rsid w:val="794B4D74"/>
    <w:rsid w:val="79501475"/>
    <w:rsid w:val="79525077"/>
    <w:rsid w:val="795A5499"/>
    <w:rsid w:val="796E35F2"/>
    <w:rsid w:val="7971290E"/>
    <w:rsid w:val="797951A9"/>
    <w:rsid w:val="7980549D"/>
    <w:rsid w:val="7990174F"/>
    <w:rsid w:val="79A15149"/>
    <w:rsid w:val="79A37CCA"/>
    <w:rsid w:val="79BF2784"/>
    <w:rsid w:val="79C028B0"/>
    <w:rsid w:val="79C24EDF"/>
    <w:rsid w:val="79C912E1"/>
    <w:rsid w:val="79C95AED"/>
    <w:rsid w:val="79E12ED9"/>
    <w:rsid w:val="79E352FF"/>
    <w:rsid w:val="79E9023D"/>
    <w:rsid w:val="79ED0DE3"/>
    <w:rsid w:val="79ED6701"/>
    <w:rsid w:val="79FB2D0B"/>
    <w:rsid w:val="7A052E17"/>
    <w:rsid w:val="7A0F1525"/>
    <w:rsid w:val="7A110616"/>
    <w:rsid w:val="7A4D07BA"/>
    <w:rsid w:val="7A550EF7"/>
    <w:rsid w:val="7A5863D3"/>
    <w:rsid w:val="7A64499E"/>
    <w:rsid w:val="7A6656B6"/>
    <w:rsid w:val="7A676DE6"/>
    <w:rsid w:val="7A723F72"/>
    <w:rsid w:val="7A743D9C"/>
    <w:rsid w:val="7A7D4128"/>
    <w:rsid w:val="7A9123B7"/>
    <w:rsid w:val="7A9711EE"/>
    <w:rsid w:val="7A9A1B33"/>
    <w:rsid w:val="7A9C3E5C"/>
    <w:rsid w:val="7A9D1CEF"/>
    <w:rsid w:val="7AA16CBD"/>
    <w:rsid w:val="7AA952CF"/>
    <w:rsid w:val="7AAE678B"/>
    <w:rsid w:val="7AB07C78"/>
    <w:rsid w:val="7AC4509A"/>
    <w:rsid w:val="7ACD2D7F"/>
    <w:rsid w:val="7AD27B42"/>
    <w:rsid w:val="7AD84E14"/>
    <w:rsid w:val="7B0F0890"/>
    <w:rsid w:val="7B18546A"/>
    <w:rsid w:val="7B1F59AA"/>
    <w:rsid w:val="7B214978"/>
    <w:rsid w:val="7B415AAE"/>
    <w:rsid w:val="7B4703EF"/>
    <w:rsid w:val="7B4A5781"/>
    <w:rsid w:val="7B4E09BF"/>
    <w:rsid w:val="7B603C7C"/>
    <w:rsid w:val="7B6D37AD"/>
    <w:rsid w:val="7B6E2AB1"/>
    <w:rsid w:val="7B771CED"/>
    <w:rsid w:val="7B9422CC"/>
    <w:rsid w:val="7BA22D26"/>
    <w:rsid w:val="7BA521BC"/>
    <w:rsid w:val="7BAB7079"/>
    <w:rsid w:val="7BB145C1"/>
    <w:rsid w:val="7BB2241E"/>
    <w:rsid w:val="7BC17EBE"/>
    <w:rsid w:val="7BC43666"/>
    <w:rsid w:val="7BC8293C"/>
    <w:rsid w:val="7BC87053"/>
    <w:rsid w:val="7BD21911"/>
    <w:rsid w:val="7BDC009C"/>
    <w:rsid w:val="7BDE0174"/>
    <w:rsid w:val="7BDF18E6"/>
    <w:rsid w:val="7BE131F6"/>
    <w:rsid w:val="7BF11348"/>
    <w:rsid w:val="7C110B00"/>
    <w:rsid w:val="7C15011A"/>
    <w:rsid w:val="7C206952"/>
    <w:rsid w:val="7C2A795D"/>
    <w:rsid w:val="7C3042C1"/>
    <w:rsid w:val="7C335EFA"/>
    <w:rsid w:val="7C3B6D84"/>
    <w:rsid w:val="7C42281E"/>
    <w:rsid w:val="7C586E1A"/>
    <w:rsid w:val="7C5A1E2A"/>
    <w:rsid w:val="7C610C91"/>
    <w:rsid w:val="7C613AEC"/>
    <w:rsid w:val="7C730FEB"/>
    <w:rsid w:val="7C734075"/>
    <w:rsid w:val="7C815D2A"/>
    <w:rsid w:val="7C831756"/>
    <w:rsid w:val="7C955005"/>
    <w:rsid w:val="7C993356"/>
    <w:rsid w:val="7CA67728"/>
    <w:rsid w:val="7CB374D5"/>
    <w:rsid w:val="7CB62523"/>
    <w:rsid w:val="7CE11FCA"/>
    <w:rsid w:val="7CE70935"/>
    <w:rsid w:val="7CEC0EA5"/>
    <w:rsid w:val="7CF84A31"/>
    <w:rsid w:val="7CFC44C2"/>
    <w:rsid w:val="7D013B39"/>
    <w:rsid w:val="7D0826CA"/>
    <w:rsid w:val="7D130509"/>
    <w:rsid w:val="7D135F9C"/>
    <w:rsid w:val="7D141D34"/>
    <w:rsid w:val="7D1946C0"/>
    <w:rsid w:val="7D2A5CCB"/>
    <w:rsid w:val="7D377DD8"/>
    <w:rsid w:val="7D3C079F"/>
    <w:rsid w:val="7D401CAA"/>
    <w:rsid w:val="7D4E195B"/>
    <w:rsid w:val="7D64087E"/>
    <w:rsid w:val="7D7A555A"/>
    <w:rsid w:val="7D7B759E"/>
    <w:rsid w:val="7D7F5298"/>
    <w:rsid w:val="7D80240C"/>
    <w:rsid w:val="7D8362BA"/>
    <w:rsid w:val="7DAB10BD"/>
    <w:rsid w:val="7DB216B0"/>
    <w:rsid w:val="7DBF1C87"/>
    <w:rsid w:val="7DD14326"/>
    <w:rsid w:val="7DD7657D"/>
    <w:rsid w:val="7DF464FC"/>
    <w:rsid w:val="7E006A11"/>
    <w:rsid w:val="7E14390A"/>
    <w:rsid w:val="7E1C55F3"/>
    <w:rsid w:val="7E225606"/>
    <w:rsid w:val="7E2E7D3F"/>
    <w:rsid w:val="7E347694"/>
    <w:rsid w:val="7E3B5911"/>
    <w:rsid w:val="7E412AD8"/>
    <w:rsid w:val="7E4428C5"/>
    <w:rsid w:val="7E495416"/>
    <w:rsid w:val="7E497873"/>
    <w:rsid w:val="7E5445AD"/>
    <w:rsid w:val="7E56443D"/>
    <w:rsid w:val="7E573082"/>
    <w:rsid w:val="7E750E81"/>
    <w:rsid w:val="7E797658"/>
    <w:rsid w:val="7E9044A6"/>
    <w:rsid w:val="7E922E52"/>
    <w:rsid w:val="7E924210"/>
    <w:rsid w:val="7EA87297"/>
    <w:rsid w:val="7EB56059"/>
    <w:rsid w:val="7EB73383"/>
    <w:rsid w:val="7EB928F3"/>
    <w:rsid w:val="7EC22792"/>
    <w:rsid w:val="7EC57DB4"/>
    <w:rsid w:val="7ECC5928"/>
    <w:rsid w:val="7ED53884"/>
    <w:rsid w:val="7ED55364"/>
    <w:rsid w:val="7ED61FF8"/>
    <w:rsid w:val="7EDE52DA"/>
    <w:rsid w:val="7EE3527A"/>
    <w:rsid w:val="7EE6137E"/>
    <w:rsid w:val="7EEB1AD7"/>
    <w:rsid w:val="7EEC4A0C"/>
    <w:rsid w:val="7EEE4B7F"/>
    <w:rsid w:val="7EEF5C7E"/>
    <w:rsid w:val="7EFA4392"/>
    <w:rsid w:val="7F057503"/>
    <w:rsid w:val="7F085E6E"/>
    <w:rsid w:val="7F090A0E"/>
    <w:rsid w:val="7F0C0396"/>
    <w:rsid w:val="7F0F0634"/>
    <w:rsid w:val="7F131741"/>
    <w:rsid w:val="7F160CCE"/>
    <w:rsid w:val="7F18438A"/>
    <w:rsid w:val="7F2618F3"/>
    <w:rsid w:val="7F314300"/>
    <w:rsid w:val="7F3B01C9"/>
    <w:rsid w:val="7F4C0F61"/>
    <w:rsid w:val="7F4E3EA7"/>
    <w:rsid w:val="7F6339F7"/>
    <w:rsid w:val="7FA069EC"/>
    <w:rsid w:val="7FA825A7"/>
    <w:rsid w:val="7FAF53F8"/>
    <w:rsid w:val="7FDA182A"/>
    <w:rsid w:val="7FDA2CD0"/>
    <w:rsid w:val="7FEE60F6"/>
    <w:rsid w:val="7FF04D41"/>
    <w:rsid w:val="7FF908EE"/>
    <w:rsid w:val="7FFC5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6">
    <w:name w:val="List"/>
    <w:basedOn w:val="1"/>
    <w:unhideWhenUsed/>
    <w:qFormat/>
    <w:uiPriority w:val="99"/>
    <w:pPr>
      <w:ind w:left="200" w:hanging="200" w:hangingChars="200"/>
      <w:contextualSpacing/>
    </w:pPr>
  </w:style>
  <w:style w:type="paragraph" w:styleId="17">
    <w:name w:val="Balloon Text"/>
    <w:basedOn w:val="1"/>
    <w:link w:val="75"/>
    <w:unhideWhenUsed/>
    <w:qFormat/>
    <w:uiPriority w:val="99"/>
    <w:rPr>
      <w:sz w:val="18"/>
      <w:szCs w:val="18"/>
    </w:rPr>
  </w:style>
  <w:style w:type="paragraph" w:styleId="18">
    <w:name w:val="footer"/>
    <w:basedOn w:val="19"/>
    <w:link w:val="81"/>
    <w:unhideWhenUsed/>
    <w:qFormat/>
    <w:uiPriority w:val="99"/>
    <w:pPr>
      <w:tabs>
        <w:tab w:val="center" w:pos="4153"/>
        <w:tab w:val="right" w:pos="8306"/>
      </w:tabs>
      <w:jc w:val="left"/>
    </w:pPr>
  </w:style>
  <w:style w:type="paragraph" w:styleId="19">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2"/>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90"/>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6"/>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2"/>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4"/>
    <w:qFormat/>
    <w:uiPriority w:val="0"/>
  </w:style>
  <w:style w:type="character" w:customStyle="1" w:styleId="61">
    <w:name w:val="c-icon"/>
    <w:basedOn w:val="24"/>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4"/>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4"/>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4"/>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7"/>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Header Char"/>
    <w:link w:val="19"/>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8"/>
    <w:qFormat/>
    <w:uiPriority w:val="99"/>
    <w:rPr>
      <w:sz w:val="18"/>
      <w:szCs w:val="18"/>
    </w:rPr>
  </w:style>
  <w:style w:type="character" w:customStyle="1" w:styleId="82">
    <w:name w:val="Comment Subject Char"/>
    <w:link w:val="21"/>
    <w:semiHidden/>
    <w:qFormat/>
    <w:uiPriority w:val="99"/>
    <w:rPr>
      <w:b/>
      <w:bCs/>
      <w:kern w:val="2"/>
      <w:lang w:eastAsia="zh-CN"/>
    </w:rPr>
  </w:style>
  <w:style w:type="character" w:customStyle="1" w:styleId="83">
    <w:name w:val="msoins"/>
    <w:basedOn w:val="24"/>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4"/>
    <w:semiHidden/>
    <w:qFormat/>
    <w:uiPriority w:val="99"/>
    <w:rPr>
      <w:color w:val="808080"/>
    </w:rPr>
  </w:style>
  <w:style w:type="character" w:customStyle="1" w:styleId="90">
    <w:name w:val="TAL Car"/>
    <w:link w:val="35"/>
    <w:qFormat/>
    <w:uiPriority w:val="0"/>
    <w:rPr>
      <w:rFonts w:ascii="Arial" w:hAnsi="Arial" w:eastAsia="Times New Roman"/>
      <w:sz w:val="18"/>
      <w:lang w:val="en-GB" w:eastAsia="en-GB"/>
    </w:rPr>
  </w:style>
  <w:style w:type="paragraph" w:customStyle="1" w:styleId="91">
    <w:name w:val="TableText"/>
    <w:basedOn w:val="1"/>
    <w:qFormat/>
    <w:uiPriority w:val="0"/>
    <w:pPr>
      <w:keepNext/>
      <w:keepLines/>
      <w:spacing w:after="0"/>
      <w:jc w:val="center"/>
    </w:pPr>
    <w:rPr>
      <w:snapToGrid w:val="0"/>
      <w:kern w:val="2"/>
      <w:lang w:eastAsia="en-US"/>
    </w:rPr>
  </w:style>
  <w:style w:type="paragraph" w:customStyle="1" w:styleId="92">
    <w:name w:val="Agreement"/>
    <w:basedOn w:val="1"/>
    <w:next w:val="1"/>
    <w:qFormat/>
    <w:uiPriority w:val="99"/>
    <w:pPr>
      <w:numPr>
        <w:ilvl w:val="0"/>
        <w:numId w:val="3"/>
      </w:numPr>
      <w:tabs>
        <w:tab w:val="left" w:pos="1620"/>
        <w:tab w:val="clear" w:pos="6930"/>
      </w:tabs>
      <w:spacing w:before="60"/>
      <w:ind w:left="1620"/>
    </w:pPr>
    <w:rPr>
      <w:rFonts w:ascii="Arial" w:hAnsi="Arial"/>
      <w:b/>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oleObject" Target="embeddings/oleObject1.bin"/><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2022-04-25T15:51:04Z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